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48" w:rsidRPr="003948BA" w:rsidRDefault="00EE5F9C">
      <w:pPr>
        <w:pStyle w:val="BodyText"/>
        <w:ind w:left="811"/>
      </w:pPr>
      <w:r w:rsidRPr="003948BA">
        <w:rPr>
          <w:noProof/>
          <w:lang w:bidi="ar-SA"/>
        </w:rPr>
        <mc:AlternateContent>
          <mc:Choice Requires="wpg">
            <w:drawing>
              <wp:inline distT="0" distB="0" distL="0" distR="0" wp14:anchorId="3119C755" wp14:editId="4500E1A5">
                <wp:extent cx="5643245" cy="913765"/>
                <wp:effectExtent l="0" t="3175" r="0" b="0"/>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913765"/>
                          <a:chOff x="0" y="0"/>
                          <a:chExt cx="8887" cy="1439"/>
                        </a:xfrm>
                      </wpg:grpSpPr>
                      <pic:pic xmlns:pic="http://schemas.openxmlformats.org/drawingml/2006/picture">
                        <pic:nvPicPr>
                          <pic:cNvPr id="35"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7" cy="1439"/>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28"/>
                        <wps:cNvSpPr txBox="1">
                          <a:spLocks noChangeArrowheads="1"/>
                        </wps:cNvSpPr>
                        <wps:spPr bwMode="auto">
                          <a:xfrm>
                            <a:off x="0" y="0"/>
                            <a:ext cx="8887"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787" w:rsidRDefault="00173787">
                              <w:pPr>
                                <w:spacing w:before="22"/>
                                <w:ind w:left="123" w:right="124"/>
                                <w:jc w:val="both"/>
                                <w:rPr>
                                  <w:b/>
                                  <w:sz w:val="20"/>
                                </w:rPr>
                              </w:pPr>
                              <w:r w:rsidRPr="00242B82">
                                <w:rPr>
                                  <w:b/>
                                  <w:sz w:val="20"/>
                                </w:rPr>
                                <w:t xml:space="preserve">Risk Disclaimer: </w:t>
                              </w:r>
                              <w:r w:rsidRPr="0062265C">
                                <w:rPr>
                                  <w:sz w:val="20"/>
                                </w:rPr>
                                <w:t xml:space="preserve">All Investments in </w:t>
                              </w:r>
                              <w:r>
                                <w:rPr>
                                  <w:sz w:val="20"/>
                                </w:rPr>
                                <w:t>M</w:t>
                              </w:r>
                              <w:r w:rsidRPr="0062265C">
                                <w:rPr>
                                  <w:sz w:val="20"/>
                                </w:rPr>
                                <w:t>utual Fund are subject to market risks. The NAV of Units may go down or up based on the market conditions. The investors are advised in their own interest to carefully read the contents of the Offering Document, in particular the Investment Policies mentioned in Clause 2, Risk Factors mentioned in clause 2.10, Taxation Policies mentioned in Clause 7 and Warnings in Clause 9 before making any investment decision.</w:t>
                              </w:r>
                            </w:p>
                          </w:txbxContent>
                        </wps:txbx>
                        <wps:bodyPr rot="0" vert="horz" wrap="square" lIns="0" tIns="0" rIns="0" bIns="0" anchor="t" anchorCtr="0" upright="1">
                          <a:noAutofit/>
                        </wps:bodyPr>
                      </wps:wsp>
                    </wpg:wgp>
                  </a:graphicData>
                </a:graphic>
              </wp:inline>
            </w:drawing>
          </mc:Choice>
          <mc:Fallback>
            <w:pict>
              <v:group id="Group 27" o:spid="_x0000_s1026" style="width:444.35pt;height:71.95pt;mso-position-horizontal-relative:char;mso-position-vertical-relative:line" coordsize="8887,1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8887;height:1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XpjDAAAA2wAAAA8AAABkcnMvZG93bnJldi54bWxEj0+LwjAUxO/CfofwFryIpiquUo0iouJN&#10;7P7x+miebbF5qU3U+u2NIOxxmJnfMLNFY0pxo9oVlhX0exEI4tTqgjMFP9+b7gSE88gaS8uk4EEO&#10;FvOP1gxjbe98oFviMxEg7GJUkHtfxVK6NCeDrmcr4uCdbG3QB1lnUtd4D3BTykEUfUmDBYeFHCta&#10;5ZSek6tRcFx1ssv2Ef2uy4Gc8DgZJn97Vqr92SynIDw1/j/8bu+0guEIXl/C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emM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28" o:spid="_x0000_s1028" type="#_x0000_t202" style="position:absolute;width:8887;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73787" w:rsidRDefault="00173787">
                        <w:pPr>
                          <w:spacing w:before="22"/>
                          <w:ind w:left="123" w:right="124"/>
                          <w:jc w:val="both"/>
                          <w:rPr>
                            <w:b/>
                            <w:sz w:val="20"/>
                          </w:rPr>
                        </w:pPr>
                        <w:r w:rsidRPr="00242B82">
                          <w:rPr>
                            <w:b/>
                            <w:sz w:val="20"/>
                          </w:rPr>
                          <w:t xml:space="preserve">Risk Disclaimer: </w:t>
                        </w:r>
                        <w:r w:rsidRPr="0062265C">
                          <w:rPr>
                            <w:sz w:val="20"/>
                          </w:rPr>
                          <w:t xml:space="preserve">All Investments in </w:t>
                        </w:r>
                        <w:r>
                          <w:rPr>
                            <w:sz w:val="20"/>
                          </w:rPr>
                          <w:t>M</w:t>
                        </w:r>
                        <w:r w:rsidRPr="0062265C">
                          <w:rPr>
                            <w:sz w:val="20"/>
                          </w:rPr>
                          <w:t>utual Fund are subject to market risks. The NAV of Units may go down or up based on the market conditions. The investors are advised in their own interest to carefully read the contents of the Offering Document, in particular the Investment Policies mentioned in Clause 2, Risk Factors mentioned in clause 2.10, Taxation Policies mentioned in Clause 7 and Warnings in Clause 9 before making any investment decision.</w:t>
                        </w:r>
                      </w:p>
                    </w:txbxContent>
                  </v:textbox>
                </v:shape>
                <w10:anchorlock/>
              </v:group>
            </w:pict>
          </mc:Fallback>
        </mc:AlternateContent>
      </w:r>
    </w:p>
    <w:p w:rsidR="005E5B48" w:rsidRPr="003948BA" w:rsidRDefault="005E5B48">
      <w:pPr>
        <w:pStyle w:val="BodyText"/>
      </w:pPr>
      <w:bookmarkStart w:id="0" w:name="_GoBack"/>
      <w:bookmarkEnd w:id="0"/>
    </w:p>
    <w:p w:rsidR="005E5B48" w:rsidRPr="003948BA" w:rsidRDefault="005E5B48">
      <w:pPr>
        <w:pStyle w:val="BodyText"/>
      </w:pPr>
    </w:p>
    <w:p w:rsidR="005E5B48" w:rsidRPr="003948BA" w:rsidRDefault="005E5B48">
      <w:pPr>
        <w:pStyle w:val="BodyText"/>
      </w:pPr>
    </w:p>
    <w:p w:rsidR="005E5B48" w:rsidRPr="003948BA" w:rsidRDefault="005E5B48">
      <w:pPr>
        <w:pStyle w:val="BodyText"/>
      </w:pPr>
    </w:p>
    <w:p w:rsidR="005E5B48" w:rsidRPr="003948BA" w:rsidRDefault="005E5B48">
      <w:pPr>
        <w:pStyle w:val="BodyText"/>
      </w:pPr>
    </w:p>
    <w:p w:rsidR="005E5B48" w:rsidRPr="003948BA" w:rsidRDefault="005E5B48">
      <w:pPr>
        <w:pStyle w:val="BodyText"/>
        <w:spacing w:before="6"/>
        <w:rPr>
          <w:sz w:val="25"/>
        </w:rPr>
      </w:pPr>
    </w:p>
    <w:p w:rsidR="005E5B48" w:rsidRPr="003948BA" w:rsidRDefault="00814043">
      <w:pPr>
        <w:spacing w:before="88"/>
        <w:ind w:left="2977"/>
        <w:rPr>
          <w:b/>
          <w:sz w:val="36"/>
        </w:rPr>
      </w:pPr>
      <w:r w:rsidRPr="003948BA">
        <w:rPr>
          <w:b/>
          <w:sz w:val="36"/>
        </w:rPr>
        <w:t>OFFERING DOCUMENT OF</w:t>
      </w:r>
    </w:p>
    <w:p w:rsidR="005E5B48" w:rsidRPr="003948BA" w:rsidRDefault="005E5B48">
      <w:pPr>
        <w:pStyle w:val="BodyText"/>
        <w:rPr>
          <w:b/>
          <w:sz w:val="40"/>
        </w:rPr>
      </w:pPr>
    </w:p>
    <w:p w:rsidR="005E5B48" w:rsidRPr="003948BA" w:rsidRDefault="005E5B48">
      <w:pPr>
        <w:pStyle w:val="BodyText"/>
        <w:rPr>
          <w:b/>
          <w:sz w:val="40"/>
        </w:rPr>
      </w:pPr>
    </w:p>
    <w:p w:rsidR="005E5B48" w:rsidRPr="003948BA" w:rsidRDefault="00814043">
      <w:pPr>
        <w:spacing w:before="324"/>
        <w:ind w:left="1155" w:right="1357"/>
        <w:jc w:val="center"/>
        <w:rPr>
          <w:b/>
          <w:sz w:val="30"/>
          <w:szCs w:val="30"/>
        </w:rPr>
      </w:pPr>
      <w:r w:rsidRPr="003948BA">
        <w:rPr>
          <w:b/>
          <w:sz w:val="30"/>
          <w:szCs w:val="30"/>
        </w:rPr>
        <w:t xml:space="preserve">AL-AMEEN ISLAMIC FINANCIAL PLANNING FUND – </w:t>
      </w:r>
      <w:r w:rsidR="00CA2698">
        <w:rPr>
          <w:b/>
          <w:sz w:val="30"/>
          <w:szCs w:val="30"/>
        </w:rPr>
        <w:t>IV</w:t>
      </w:r>
      <w:r w:rsidR="00CA2698" w:rsidRPr="003948BA">
        <w:rPr>
          <w:b/>
          <w:sz w:val="30"/>
          <w:szCs w:val="30"/>
        </w:rPr>
        <w:t xml:space="preserve"> </w:t>
      </w:r>
      <w:r w:rsidRPr="003948BA">
        <w:rPr>
          <w:b/>
          <w:sz w:val="30"/>
          <w:szCs w:val="30"/>
        </w:rPr>
        <w:t>(AIFPF-</w:t>
      </w:r>
      <w:r w:rsidR="00CA2698">
        <w:rPr>
          <w:b/>
          <w:sz w:val="30"/>
          <w:szCs w:val="30"/>
        </w:rPr>
        <w:t>IV</w:t>
      </w:r>
      <w:r w:rsidRPr="003948BA">
        <w:rPr>
          <w:b/>
          <w:sz w:val="30"/>
          <w:szCs w:val="30"/>
        </w:rPr>
        <w:t>)</w:t>
      </w:r>
    </w:p>
    <w:p w:rsidR="005E5B48" w:rsidRPr="003948BA" w:rsidRDefault="005E5B48">
      <w:pPr>
        <w:pStyle w:val="BodyText"/>
        <w:spacing w:before="9"/>
        <w:rPr>
          <w:b/>
          <w:sz w:val="35"/>
        </w:rPr>
      </w:pPr>
    </w:p>
    <w:p w:rsidR="005E5B48" w:rsidRPr="003948BA" w:rsidRDefault="00814043" w:rsidP="0049106D">
      <w:pPr>
        <w:spacing w:before="1"/>
        <w:jc w:val="center"/>
        <w:rPr>
          <w:b/>
          <w:sz w:val="28"/>
        </w:rPr>
      </w:pPr>
      <w:r w:rsidRPr="003948BA">
        <w:rPr>
          <w:b/>
          <w:sz w:val="28"/>
        </w:rPr>
        <w:t>(</w:t>
      </w:r>
      <w:proofErr w:type="spellStart"/>
      <w:r w:rsidR="00DB0422" w:rsidRPr="003948BA">
        <w:rPr>
          <w:b/>
          <w:sz w:val="28"/>
        </w:rPr>
        <w:t>Wakalatul</w:t>
      </w:r>
      <w:proofErr w:type="spellEnd"/>
      <w:r w:rsidR="00DB0422" w:rsidRPr="003948BA">
        <w:rPr>
          <w:b/>
          <w:sz w:val="28"/>
        </w:rPr>
        <w:t xml:space="preserve"> </w:t>
      </w:r>
      <w:proofErr w:type="spellStart"/>
      <w:r w:rsidR="00DB0422" w:rsidRPr="003948BA">
        <w:rPr>
          <w:b/>
          <w:sz w:val="28"/>
        </w:rPr>
        <w:t>Istithmar</w:t>
      </w:r>
      <w:proofErr w:type="spellEnd"/>
      <w:r w:rsidR="00DB0422" w:rsidRPr="003948BA">
        <w:rPr>
          <w:b/>
          <w:sz w:val="28"/>
        </w:rPr>
        <w:t xml:space="preserve"> based Fund of Funds Scheme</w:t>
      </w:r>
      <w:r w:rsidRPr="003948BA">
        <w:rPr>
          <w:b/>
          <w:sz w:val="28"/>
        </w:rPr>
        <w:t>)</w:t>
      </w:r>
    </w:p>
    <w:p w:rsidR="005E5B48" w:rsidRPr="003948BA" w:rsidRDefault="005E5B48">
      <w:pPr>
        <w:pStyle w:val="BodyText"/>
        <w:rPr>
          <w:b/>
          <w:sz w:val="40"/>
        </w:rPr>
      </w:pPr>
    </w:p>
    <w:p w:rsidR="005E5B48" w:rsidRPr="003948BA" w:rsidRDefault="005E5B48">
      <w:pPr>
        <w:pStyle w:val="BodyText"/>
        <w:rPr>
          <w:b/>
          <w:sz w:val="40"/>
        </w:rPr>
      </w:pPr>
    </w:p>
    <w:p w:rsidR="005E5B48" w:rsidRPr="003948BA" w:rsidRDefault="005E5B48">
      <w:pPr>
        <w:pStyle w:val="BodyText"/>
        <w:spacing w:before="2"/>
        <w:rPr>
          <w:b/>
          <w:sz w:val="48"/>
        </w:rPr>
      </w:pPr>
    </w:p>
    <w:p w:rsidR="005E5B48" w:rsidRPr="003948BA" w:rsidRDefault="00CA2698" w:rsidP="00B84555">
      <w:pPr>
        <w:pStyle w:val="Heading5"/>
        <w:spacing w:line="480" w:lineRule="auto"/>
        <w:ind w:left="3239" w:right="3633" w:firstLine="0"/>
        <w:jc w:val="center"/>
      </w:pPr>
      <w:r>
        <w:t xml:space="preserve">                                         </w:t>
      </w:r>
    </w:p>
    <w:p w:rsidR="005E5B48" w:rsidRPr="003948BA" w:rsidRDefault="005E5B48">
      <w:pPr>
        <w:pStyle w:val="BodyText"/>
        <w:rPr>
          <w:b/>
          <w:sz w:val="22"/>
        </w:rPr>
      </w:pPr>
    </w:p>
    <w:p w:rsidR="005E5B48" w:rsidRPr="003948BA" w:rsidRDefault="005E5B48">
      <w:pPr>
        <w:pStyle w:val="BodyText"/>
        <w:rPr>
          <w:b/>
          <w:sz w:val="22"/>
        </w:rPr>
      </w:pPr>
    </w:p>
    <w:p w:rsidR="005E5B48" w:rsidRPr="003948BA" w:rsidRDefault="005E5B48">
      <w:pPr>
        <w:pStyle w:val="BodyText"/>
        <w:rPr>
          <w:b/>
          <w:sz w:val="22"/>
        </w:rPr>
      </w:pPr>
    </w:p>
    <w:p w:rsidR="005E5B48" w:rsidRPr="003948BA" w:rsidRDefault="005E5B48">
      <w:pPr>
        <w:pStyle w:val="BodyText"/>
        <w:spacing w:before="8"/>
        <w:rPr>
          <w:b/>
          <w:sz w:val="21"/>
        </w:rPr>
      </w:pPr>
    </w:p>
    <w:p w:rsidR="005E5B48" w:rsidRPr="003948BA" w:rsidRDefault="00814043">
      <w:pPr>
        <w:ind w:left="1155" w:right="1250"/>
        <w:jc w:val="center"/>
        <w:rPr>
          <w:b/>
          <w:sz w:val="36"/>
        </w:rPr>
      </w:pPr>
      <w:r w:rsidRPr="003948BA">
        <w:rPr>
          <w:b/>
          <w:sz w:val="36"/>
        </w:rPr>
        <w:t>MANAGED BY</w:t>
      </w:r>
    </w:p>
    <w:p w:rsidR="005E5B48" w:rsidRPr="003948BA" w:rsidRDefault="005E5B48">
      <w:pPr>
        <w:pStyle w:val="BodyText"/>
        <w:rPr>
          <w:b/>
          <w:sz w:val="36"/>
        </w:rPr>
      </w:pPr>
    </w:p>
    <w:p w:rsidR="005E5B48" w:rsidRPr="003948BA" w:rsidRDefault="00814043">
      <w:pPr>
        <w:ind w:left="2506"/>
        <w:rPr>
          <w:b/>
          <w:sz w:val="36"/>
        </w:rPr>
      </w:pPr>
      <w:r w:rsidRPr="003948BA">
        <w:rPr>
          <w:b/>
          <w:sz w:val="36"/>
        </w:rPr>
        <w:t>UBL FUND MANAGERS LIMITED</w:t>
      </w:r>
    </w:p>
    <w:p w:rsidR="005E5B48" w:rsidRPr="003948BA" w:rsidRDefault="005E5B48">
      <w:pPr>
        <w:pStyle w:val="BodyText"/>
        <w:spacing w:before="8"/>
        <w:rPr>
          <w:b/>
          <w:sz w:val="44"/>
        </w:rPr>
      </w:pPr>
    </w:p>
    <w:p w:rsidR="004E25B9" w:rsidRDefault="00EE5F9C" w:rsidP="00173787">
      <w:pPr>
        <w:pStyle w:val="Heading1"/>
        <w:spacing w:before="1" w:line="550" w:lineRule="atLeast"/>
        <w:ind w:left="3405" w:right="350" w:firstLine="492"/>
      </w:pPr>
      <w:r w:rsidRPr="003948BA">
        <w:t xml:space="preserve">Duly Vetted by </w:t>
      </w:r>
    </w:p>
    <w:p w:rsidR="005E5B48" w:rsidRPr="003948BA" w:rsidRDefault="004E25B9" w:rsidP="00173787">
      <w:pPr>
        <w:pStyle w:val="Heading1"/>
        <w:spacing w:before="1" w:line="550" w:lineRule="atLeast"/>
        <w:ind w:right="350"/>
      </w:pPr>
      <w:r>
        <w:t xml:space="preserve">                                   </w:t>
      </w:r>
      <w:r w:rsidR="00814043" w:rsidRPr="003948BA">
        <w:t>Mufti Muhammad Hassan Kaleem</w:t>
      </w:r>
      <w:r>
        <w:t xml:space="preserve"> (</w:t>
      </w:r>
      <w:r w:rsidRPr="004E25B9">
        <w:t>SECP/IFD/SA/002</w:t>
      </w:r>
      <w:r>
        <w:t>)</w:t>
      </w:r>
    </w:p>
    <w:p w:rsidR="005E5B48" w:rsidRPr="003948BA" w:rsidRDefault="00533770" w:rsidP="00533770">
      <w:pPr>
        <w:ind w:left="1155" w:right="1250"/>
        <w:rPr>
          <w:sz w:val="24"/>
        </w:rPr>
      </w:pPr>
      <w:r w:rsidRPr="003948BA">
        <w:rPr>
          <w:sz w:val="24"/>
        </w:rPr>
        <w:t xml:space="preserve">                  </w:t>
      </w:r>
      <w:r w:rsidR="004E25B9">
        <w:rPr>
          <w:sz w:val="24"/>
        </w:rPr>
        <w:t xml:space="preserve">   </w:t>
      </w:r>
      <w:r w:rsidR="00814043" w:rsidRPr="003948BA">
        <w:rPr>
          <w:sz w:val="24"/>
        </w:rPr>
        <w:t xml:space="preserve">Mufti Muhammad </w:t>
      </w:r>
      <w:proofErr w:type="spellStart"/>
      <w:r w:rsidR="00814043" w:rsidRPr="003948BA">
        <w:rPr>
          <w:sz w:val="24"/>
        </w:rPr>
        <w:t>Najeeb</w:t>
      </w:r>
      <w:proofErr w:type="spellEnd"/>
      <w:r w:rsidR="00814043" w:rsidRPr="003948BA">
        <w:rPr>
          <w:sz w:val="24"/>
        </w:rPr>
        <w:t xml:space="preserve"> Khan</w:t>
      </w:r>
      <w:r w:rsidR="004E25B9">
        <w:rPr>
          <w:sz w:val="24"/>
        </w:rPr>
        <w:t xml:space="preserve"> (</w:t>
      </w:r>
      <w:r w:rsidR="004E25B9" w:rsidRPr="004E25B9">
        <w:rPr>
          <w:sz w:val="24"/>
        </w:rPr>
        <w:t>SECP/IFD/SA/003</w:t>
      </w:r>
      <w:r w:rsidR="004E25B9">
        <w:rPr>
          <w:sz w:val="24"/>
        </w:rPr>
        <w:t>)</w:t>
      </w:r>
    </w:p>
    <w:p w:rsidR="005E5B48" w:rsidRPr="003948BA" w:rsidRDefault="005E5B48">
      <w:pPr>
        <w:jc w:val="center"/>
        <w:rPr>
          <w:sz w:val="24"/>
        </w:rPr>
        <w:sectPr w:rsidR="005E5B48" w:rsidRPr="003948BA">
          <w:type w:val="continuous"/>
          <w:pgSz w:w="11920" w:h="16850"/>
          <w:pgMar w:top="1580" w:right="340" w:bottom="280" w:left="880" w:header="720" w:footer="720"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2583"/>
        <w:gridCol w:w="5245"/>
        <w:gridCol w:w="2294"/>
      </w:tblGrid>
      <w:tr w:rsidR="00D5162D" w:rsidRPr="003948BA" w:rsidTr="00294079">
        <w:trPr>
          <w:trHeight w:val="445"/>
        </w:trPr>
        <w:tc>
          <w:tcPr>
            <w:tcW w:w="2583" w:type="dxa"/>
          </w:tcPr>
          <w:p w:rsidR="00D5162D" w:rsidRPr="003948BA" w:rsidRDefault="00D5162D" w:rsidP="009D529C">
            <w:pPr>
              <w:pStyle w:val="TableParagraph"/>
              <w:spacing w:line="223" w:lineRule="exact"/>
              <w:ind w:left="0"/>
              <w:rPr>
                <w:b/>
                <w:sz w:val="20"/>
              </w:rPr>
            </w:pPr>
            <w:r w:rsidRPr="003948BA">
              <w:rPr>
                <w:b/>
                <w:sz w:val="20"/>
              </w:rPr>
              <w:lastRenderedPageBreak/>
              <w:t>CLAUSE</w:t>
            </w:r>
          </w:p>
        </w:tc>
        <w:tc>
          <w:tcPr>
            <w:tcW w:w="5245" w:type="dxa"/>
          </w:tcPr>
          <w:p w:rsidR="00D5162D" w:rsidRPr="003948BA" w:rsidRDefault="00D5162D" w:rsidP="00294079">
            <w:pPr>
              <w:pStyle w:val="TableParagraph"/>
              <w:spacing w:line="223" w:lineRule="exact"/>
              <w:ind w:left="1561"/>
              <w:rPr>
                <w:b/>
                <w:sz w:val="20"/>
              </w:rPr>
            </w:pPr>
            <w:r w:rsidRPr="003948BA">
              <w:rPr>
                <w:b/>
                <w:sz w:val="20"/>
              </w:rPr>
              <w:t>TABLE OF CONTENTS</w:t>
            </w:r>
          </w:p>
        </w:tc>
        <w:tc>
          <w:tcPr>
            <w:tcW w:w="2294" w:type="dxa"/>
          </w:tcPr>
          <w:p w:rsidR="00D5162D" w:rsidRPr="003948BA" w:rsidRDefault="00D5162D" w:rsidP="00294079">
            <w:pPr>
              <w:pStyle w:val="TableParagraph"/>
              <w:spacing w:before="1" w:line="224" w:lineRule="exact"/>
              <w:ind w:left="1652" w:hanging="125"/>
              <w:rPr>
                <w:b/>
                <w:sz w:val="20"/>
              </w:rPr>
            </w:pPr>
            <w:r w:rsidRPr="003948BA">
              <w:rPr>
                <w:b/>
                <w:w w:val="95"/>
                <w:sz w:val="20"/>
              </w:rPr>
              <w:t xml:space="preserve">PAGE </w:t>
            </w:r>
            <w:r w:rsidRPr="003948BA">
              <w:rPr>
                <w:b/>
                <w:sz w:val="20"/>
              </w:rPr>
              <w:t>NO.</w:t>
            </w:r>
          </w:p>
        </w:tc>
      </w:tr>
    </w:tbl>
    <w:p w:rsidR="00D5162D" w:rsidRPr="003948BA" w:rsidRDefault="00173787" w:rsidP="00A002A6">
      <w:pPr>
        <w:pStyle w:val="Heading5"/>
        <w:numPr>
          <w:ilvl w:val="0"/>
          <w:numId w:val="41"/>
        </w:numPr>
        <w:tabs>
          <w:tab w:val="left" w:pos="1640"/>
          <w:tab w:val="left" w:pos="1641"/>
          <w:tab w:val="right" w:pos="9721"/>
        </w:tabs>
        <w:spacing w:before="128"/>
      </w:pPr>
      <w:hyperlink w:anchor="_bookmark0" w:history="1">
        <w:r w:rsidR="00D5162D" w:rsidRPr="003948BA">
          <w:t>CONSTITUTION OF THE SCHEME</w:t>
        </w:r>
        <w:r w:rsidR="00D5162D" w:rsidRPr="003948BA">
          <w:tab/>
          <w:t>4</w:t>
        </w:r>
      </w:hyperlink>
    </w:p>
    <w:p w:rsidR="00D5162D" w:rsidRPr="003948BA" w:rsidRDefault="00173787" w:rsidP="00A002A6">
      <w:pPr>
        <w:pStyle w:val="ListParagraph"/>
        <w:numPr>
          <w:ilvl w:val="1"/>
          <w:numId w:val="41"/>
        </w:numPr>
        <w:tabs>
          <w:tab w:val="left" w:pos="1621"/>
          <w:tab w:val="left" w:pos="1622"/>
          <w:tab w:val="right" w:pos="9721"/>
        </w:tabs>
        <w:spacing w:before="109"/>
        <w:rPr>
          <w:sz w:val="20"/>
        </w:rPr>
      </w:pPr>
      <w:hyperlink w:anchor="_bookmark1" w:history="1">
        <w:r w:rsidR="00D5162D" w:rsidRPr="003948BA">
          <w:rPr>
            <w:sz w:val="20"/>
          </w:rPr>
          <w:t>Constitution</w:t>
        </w:r>
        <w:r w:rsidR="00D5162D" w:rsidRPr="003948BA">
          <w:rPr>
            <w:sz w:val="20"/>
          </w:rPr>
          <w:tab/>
          <w:t>4</w:t>
        </w:r>
      </w:hyperlink>
    </w:p>
    <w:p w:rsidR="00D5162D" w:rsidRPr="003948BA" w:rsidRDefault="00D5162D" w:rsidP="00A002A6">
      <w:pPr>
        <w:pStyle w:val="ListParagraph"/>
        <w:numPr>
          <w:ilvl w:val="1"/>
          <w:numId w:val="41"/>
        </w:numPr>
        <w:tabs>
          <w:tab w:val="left" w:pos="1621"/>
          <w:tab w:val="left" w:pos="1622"/>
          <w:tab w:val="right" w:pos="9714"/>
        </w:tabs>
        <w:spacing w:before="3" w:after="14"/>
        <w:rPr>
          <w:sz w:val="20"/>
        </w:rPr>
      </w:pPr>
      <w:r w:rsidRPr="003948BA">
        <w:rPr>
          <w:sz w:val="20"/>
        </w:rPr>
        <w:t>Trust Deed (the Deed)</w:t>
      </w:r>
      <w:r w:rsidRPr="003948BA">
        <w:rPr>
          <w:sz w:val="20"/>
        </w:rPr>
        <w:tab/>
        <w:t>4</w:t>
      </w:r>
    </w:p>
    <w:tbl>
      <w:tblPr>
        <w:tblW w:w="0" w:type="auto"/>
        <w:tblInd w:w="360" w:type="dxa"/>
        <w:tblLayout w:type="fixed"/>
        <w:tblCellMar>
          <w:left w:w="0" w:type="dxa"/>
          <w:right w:w="0" w:type="dxa"/>
        </w:tblCellMar>
        <w:tblLook w:val="01E0" w:firstRow="1" w:lastRow="1" w:firstColumn="1" w:lastColumn="1" w:noHBand="0" w:noVBand="0"/>
      </w:tblPr>
      <w:tblGrid>
        <w:gridCol w:w="905"/>
        <w:gridCol w:w="7474"/>
        <w:gridCol w:w="1196"/>
      </w:tblGrid>
      <w:tr w:rsidR="00D5162D" w:rsidRPr="003948BA" w:rsidTr="00294079">
        <w:trPr>
          <w:trHeight w:val="225"/>
        </w:trPr>
        <w:tc>
          <w:tcPr>
            <w:tcW w:w="905" w:type="dxa"/>
          </w:tcPr>
          <w:p w:rsidR="00D5162D" w:rsidRPr="003948BA" w:rsidRDefault="00173787" w:rsidP="00294079">
            <w:pPr>
              <w:pStyle w:val="TableParagraph"/>
              <w:spacing w:line="205" w:lineRule="exact"/>
              <w:ind w:left="200"/>
              <w:rPr>
                <w:sz w:val="20"/>
              </w:rPr>
            </w:pPr>
            <w:hyperlink w:anchor="_bookmark2" w:history="1">
              <w:r w:rsidR="00D5162D" w:rsidRPr="003948BA">
                <w:rPr>
                  <w:sz w:val="20"/>
                </w:rPr>
                <w:t>1.3</w:t>
              </w:r>
            </w:hyperlink>
          </w:p>
        </w:tc>
        <w:tc>
          <w:tcPr>
            <w:tcW w:w="7474" w:type="dxa"/>
          </w:tcPr>
          <w:p w:rsidR="00D5162D" w:rsidRPr="003948BA" w:rsidRDefault="00173787" w:rsidP="00294079">
            <w:pPr>
              <w:pStyle w:val="TableParagraph"/>
              <w:spacing w:line="205" w:lineRule="exact"/>
              <w:ind w:left="353"/>
              <w:rPr>
                <w:sz w:val="20"/>
              </w:rPr>
            </w:pPr>
            <w:hyperlink w:anchor="_bookmark3" w:history="1">
              <w:r w:rsidR="00D5162D" w:rsidRPr="003948BA">
                <w:rPr>
                  <w:sz w:val="20"/>
                </w:rPr>
                <w:t>Modification of Trust Deed</w:t>
              </w:r>
            </w:hyperlink>
          </w:p>
        </w:tc>
        <w:tc>
          <w:tcPr>
            <w:tcW w:w="1196" w:type="dxa"/>
          </w:tcPr>
          <w:p w:rsidR="00D5162D" w:rsidRPr="003948BA" w:rsidRDefault="00173787" w:rsidP="00294079">
            <w:pPr>
              <w:pStyle w:val="TableParagraph"/>
              <w:spacing w:line="205" w:lineRule="exact"/>
              <w:ind w:left="0" w:right="207"/>
              <w:jc w:val="right"/>
              <w:rPr>
                <w:sz w:val="20"/>
              </w:rPr>
            </w:pPr>
            <w:hyperlink w:anchor="_bookmark2" w:history="1">
              <w:r w:rsidR="00D5162D" w:rsidRPr="003948BA">
                <w:rPr>
                  <w:w w:val="96"/>
                  <w:sz w:val="20"/>
                </w:rPr>
                <w:t>5</w:t>
              </w:r>
            </w:hyperlink>
          </w:p>
        </w:tc>
      </w:tr>
      <w:tr w:rsidR="00D5162D" w:rsidRPr="003948BA" w:rsidTr="00294079">
        <w:trPr>
          <w:trHeight w:val="228"/>
        </w:trPr>
        <w:tc>
          <w:tcPr>
            <w:tcW w:w="905" w:type="dxa"/>
          </w:tcPr>
          <w:p w:rsidR="00D5162D" w:rsidRPr="003948BA" w:rsidRDefault="00173787" w:rsidP="00294079">
            <w:pPr>
              <w:pStyle w:val="TableParagraph"/>
              <w:spacing w:line="208" w:lineRule="exact"/>
              <w:ind w:left="200"/>
              <w:rPr>
                <w:sz w:val="20"/>
              </w:rPr>
            </w:pPr>
            <w:hyperlink w:anchor="_bookmark3" w:history="1">
              <w:r w:rsidR="00D5162D" w:rsidRPr="003948BA">
                <w:rPr>
                  <w:sz w:val="20"/>
                </w:rPr>
                <w:t>1.4</w:t>
              </w:r>
            </w:hyperlink>
          </w:p>
        </w:tc>
        <w:tc>
          <w:tcPr>
            <w:tcW w:w="7474" w:type="dxa"/>
          </w:tcPr>
          <w:p w:rsidR="00D5162D" w:rsidRPr="003948BA" w:rsidRDefault="00173787" w:rsidP="00294079">
            <w:pPr>
              <w:pStyle w:val="TableParagraph"/>
              <w:spacing w:line="208" w:lineRule="exact"/>
              <w:ind w:left="353"/>
              <w:rPr>
                <w:sz w:val="20"/>
              </w:rPr>
            </w:pPr>
            <w:hyperlink w:anchor="_bookmark4" w:history="1">
              <w:r w:rsidR="00D5162D" w:rsidRPr="003948BA">
                <w:rPr>
                  <w:sz w:val="20"/>
                </w:rPr>
                <w:t>Trust Property</w:t>
              </w:r>
            </w:hyperlink>
          </w:p>
        </w:tc>
        <w:tc>
          <w:tcPr>
            <w:tcW w:w="1196" w:type="dxa"/>
          </w:tcPr>
          <w:p w:rsidR="00D5162D" w:rsidRPr="003948BA" w:rsidRDefault="00173787" w:rsidP="00294079">
            <w:pPr>
              <w:pStyle w:val="TableParagraph"/>
              <w:spacing w:line="208" w:lineRule="exact"/>
              <w:ind w:left="0" w:right="207"/>
              <w:jc w:val="right"/>
              <w:rPr>
                <w:sz w:val="20"/>
              </w:rPr>
            </w:pPr>
            <w:hyperlink w:anchor="_bookmark3" w:history="1">
              <w:r w:rsidR="00D5162D" w:rsidRPr="003948BA">
                <w:rPr>
                  <w:w w:val="96"/>
                  <w:sz w:val="20"/>
                </w:rPr>
                <w:t>5</w:t>
              </w:r>
            </w:hyperlink>
          </w:p>
        </w:tc>
      </w:tr>
      <w:tr w:rsidR="00D5162D" w:rsidRPr="003948BA" w:rsidTr="00294079">
        <w:trPr>
          <w:trHeight w:val="227"/>
        </w:trPr>
        <w:tc>
          <w:tcPr>
            <w:tcW w:w="905" w:type="dxa"/>
          </w:tcPr>
          <w:p w:rsidR="00D5162D" w:rsidRPr="003948BA" w:rsidRDefault="00173787" w:rsidP="00294079">
            <w:pPr>
              <w:pStyle w:val="TableParagraph"/>
              <w:spacing w:line="208" w:lineRule="exact"/>
              <w:ind w:left="200"/>
              <w:rPr>
                <w:sz w:val="20"/>
              </w:rPr>
            </w:pPr>
            <w:hyperlink w:anchor="_bookmark4" w:history="1">
              <w:r w:rsidR="00D5162D" w:rsidRPr="003948BA">
                <w:rPr>
                  <w:sz w:val="20"/>
                </w:rPr>
                <w:t>1.5</w:t>
              </w:r>
            </w:hyperlink>
          </w:p>
        </w:tc>
        <w:tc>
          <w:tcPr>
            <w:tcW w:w="7474" w:type="dxa"/>
          </w:tcPr>
          <w:p w:rsidR="00D5162D" w:rsidRPr="003948BA" w:rsidRDefault="00173787" w:rsidP="00294079">
            <w:pPr>
              <w:pStyle w:val="TableParagraph"/>
              <w:spacing w:line="208" w:lineRule="exact"/>
              <w:ind w:left="353"/>
              <w:rPr>
                <w:sz w:val="20"/>
              </w:rPr>
            </w:pPr>
            <w:hyperlink w:anchor="_bookmark4" w:history="1">
              <w:r w:rsidR="00D5162D" w:rsidRPr="003948BA">
                <w:rPr>
                  <w:sz w:val="20"/>
                </w:rPr>
                <w:t>Offering</w:t>
              </w:r>
            </w:hyperlink>
            <w:r w:rsidR="00D5162D" w:rsidRPr="003948BA">
              <w:rPr>
                <w:sz w:val="20"/>
              </w:rPr>
              <w:t xml:space="preserve"> Document</w:t>
            </w:r>
          </w:p>
        </w:tc>
        <w:tc>
          <w:tcPr>
            <w:tcW w:w="1196" w:type="dxa"/>
          </w:tcPr>
          <w:p w:rsidR="00D5162D" w:rsidRPr="003948BA" w:rsidRDefault="00173787" w:rsidP="00294079">
            <w:pPr>
              <w:pStyle w:val="TableParagraph"/>
              <w:spacing w:line="208" w:lineRule="exact"/>
              <w:ind w:left="0" w:right="207"/>
              <w:jc w:val="right"/>
              <w:rPr>
                <w:sz w:val="20"/>
              </w:rPr>
            </w:pPr>
            <w:hyperlink w:anchor="_bookmark4" w:history="1">
              <w:r w:rsidR="00D5162D" w:rsidRPr="003948BA">
                <w:rPr>
                  <w:w w:val="96"/>
                  <w:sz w:val="20"/>
                </w:rPr>
                <w:t>5</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5" w:history="1">
              <w:r w:rsidR="00D5162D" w:rsidRPr="003948BA">
                <w:rPr>
                  <w:sz w:val="20"/>
                </w:rPr>
                <w:t>1.6</w:t>
              </w:r>
            </w:hyperlink>
          </w:p>
        </w:tc>
        <w:tc>
          <w:tcPr>
            <w:tcW w:w="7474" w:type="dxa"/>
          </w:tcPr>
          <w:p w:rsidR="00D5162D" w:rsidRPr="003948BA" w:rsidRDefault="00173787" w:rsidP="00294079">
            <w:pPr>
              <w:pStyle w:val="TableParagraph"/>
              <w:spacing w:line="210" w:lineRule="exact"/>
              <w:ind w:left="353"/>
              <w:rPr>
                <w:sz w:val="20"/>
              </w:rPr>
            </w:pPr>
            <w:hyperlink w:anchor="_bookmark5" w:history="1">
              <w:r w:rsidR="00D5162D" w:rsidRPr="003948BA">
                <w:rPr>
                  <w:sz w:val="20"/>
                </w:rPr>
                <w:t>Modification</w:t>
              </w:r>
            </w:hyperlink>
            <w:r w:rsidR="00D5162D" w:rsidRPr="003948BA">
              <w:rPr>
                <w:sz w:val="20"/>
              </w:rPr>
              <w:t xml:space="preserve"> of Offering Document</w:t>
            </w:r>
          </w:p>
        </w:tc>
        <w:tc>
          <w:tcPr>
            <w:tcW w:w="1196" w:type="dxa"/>
          </w:tcPr>
          <w:p w:rsidR="00D5162D" w:rsidRPr="003948BA" w:rsidRDefault="00173787" w:rsidP="00294079">
            <w:pPr>
              <w:pStyle w:val="TableParagraph"/>
              <w:spacing w:line="210" w:lineRule="exact"/>
              <w:ind w:left="0" w:right="207"/>
              <w:jc w:val="right"/>
              <w:rPr>
                <w:sz w:val="20"/>
              </w:rPr>
            </w:pPr>
            <w:hyperlink w:anchor="_bookmark5" w:history="1">
              <w:r w:rsidR="00D5162D" w:rsidRPr="003948BA">
                <w:rPr>
                  <w:w w:val="96"/>
                  <w:sz w:val="20"/>
                </w:rPr>
                <w:t>6</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6" w:history="1">
              <w:r w:rsidR="00D5162D" w:rsidRPr="003948BA">
                <w:rPr>
                  <w:sz w:val="20"/>
                </w:rPr>
                <w:t>1.7</w:t>
              </w:r>
            </w:hyperlink>
          </w:p>
        </w:tc>
        <w:tc>
          <w:tcPr>
            <w:tcW w:w="7474" w:type="dxa"/>
          </w:tcPr>
          <w:p w:rsidR="00D5162D" w:rsidRPr="003948BA" w:rsidRDefault="00D5162D" w:rsidP="00294079">
            <w:pPr>
              <w:pStyle w:val="TableParagraph"/>
              <w:spacing w:line="210" w:lineRule="exact"/>
              <w:ind w:left="353"/>
              <w:rPr>
                <w:sz w:val="20"/>
              </w:rPr>
            </w:pPr>
            <w:r w:rsidRPr="003948BA">
              <w:rPr>
                <w:sz w:val="20"/>
              </w:rPr>
              <w:t>Responsibility of the Management Company for information given in this Document</w:t>
            </w:r>
          </w:p>
        </w:tc>
        <w:tc>
          <w:tcPr>
            <w:tcW w:w="1196" w:type="dxa"/>
          </w:tcPr>
          <w:p w:rsidR="00D5162D" w:rsidRPr="003948BA" w:rsidRDefault="00173787" w:rsidP="00294079">
            <w:pPr>
              <w:pStyle w:val="TableParagraph"/>
              <w:spacing w:line="210" w:lineRule="exact"/>
              <w:ind w:left="0" w:right="207"/>
              <w:jc w:val="right"/>
              <w:rPr>
                <w:sz w:val="20"/>
              </w:rPr>
            </w:pPr>
            <w:hyperlink w:anchor="_bookmark6" w:history="1">
              <w:r w:rsidR="00D5162D" w:rsidRPr="003948BA">
                <w:rPr>
                  <w:w w:val="96"/>
                  <w:sz w:val="20"/>
                </w:rPr>
                <w:t>6</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7" w:history="1">
              <w:r w:rsidR="00D5162D" w:rsidRPr="003948BA">
                <w:rPr>
                  <w:sz w:val="20"/>
                </w:rPr>
                <w:t>1.8</w:t>
              </w:r>
            </w:hyperlink>
          </w:p>
        </w:tc>
        <w:tc>
          <w:tcPr>
            <w:tcW w:w="7474" w:type="dxa"/>
          </w:tcPr>
          <w:p w:rsidR="00D5162D" w:rsidRPr="003948BA" w:rsidRDefault="00173787" w:rsidP="00294079">
            <w:pPr>
              <w:pStyle w:val="TableParagraph"/>
              <w:spacing w:line="210" w:lineRule="exact"/>
              <w:ind w:left="353"/>
              <w:rPr>
                <w:sz w:val="20"/>
              </w:rPr>
            </w:pPr>
            <w:hyperlink w:anchor="_bookmark7" w:history="1">
              <w:r w:rsidR="00D5162D" w:rsidRPr="003948BA">
                <w:rPr>
                  <w:sz w:val="20"/>
                </w:rPr>
                <w:t>Open-End</w:t>
              </w:r>
            </w:hyperlink>
            <w:r w:rsidR="00D5162D" w:rsidRPr="003948BA">
              <w:rPr>
                <w:sz w:val="20"/>
              </w:rPr>
              <w:t xml:space="preserve"> Fund</w:t>
            </w:r>
          </w:p>
        </w:tc>
        <w:tc>
          <w:tcPr>
            <w:tcW w:w="1196" w:type="dxa"/>
          </w:tcPr>
          <w:p w:rsidR="00D5162D" w:rsidRPr="003948BA" w:rsidRDefault="00173787" w:rsidP="00294079">
            <w:pPr>
              <w:pStyle w:val="TableParagraph"/>
              <w:spacing w:line="210" w:lineRule="exact"/>
              <w:ind w:left="0" w:right="207"/>
              <w:jc w:val="right"/>
              <w:rPr>
                <w:sz w:val="20"/>
              </w:rPr>
            </w:pPr>
            <w:hyperlink w:anchor="_bookmark7" w:history="1">
              <w:r w:rsidR="00D5162D" w:rsidRPr="003948BA">
                <w:rPr>
                  <w:w w:val="96"/>
                  <w:sz w:val="20"/>
                </w:rPr>
                <w:t>7</w:t>
              </w:r>
            </w:hyperlink>
          </w:p>
        </w:tc>
      </w:tr>
      <w:tr w:rsidR="00D5162D" w:rsidRPr="003948BA" w:rsidTr="00294079">
        <w:trPr>
          <w:trHeight w:val="291"/>
        </w:trPr>
        <w:tc>
          <w:tcPr>
            <w:tcW w:w="905" w:type="dxa"/>
          </w:tcPr>
          <w:p w:rsidR="00D5162D" w:rsidRPr="003948BA" w:rsidRDefault="00173787" w:rsidP="00294079">
            <w:pPr>
              <w:pStyle w:val="TableParagraph"/>
              <w:spacing w:line="226" w:lineRule="exact"/>
              <w:ind w:left="200"/>
              <w:rPr>
                <w:sz w:val="20"/>
              </w:rPr>
            </w:pPr>
            <w:hyperlink w:anchor="_bookmark8" w:history="1">
              <w:r w:rsidR="00D5162D" w:rsidRPr="003948BA">
                <w:rPr>
                  <w:sz w:val="20"/>
                </w:rPr>
                <w:t>1.9</w:t>
              </w:r>
            </w:hyperlink>
          </w:p>
          <w:p w:rsidR="00D5162D" w:rsidRPr="003948BA" w:rsidRDefault="00D5162D" w:rsidP="00294079">
            <w:pPr>
              <w:pStyle w:val="TableParagraph"/>
              <w:spacing w:line="226" w:lineRule="exact"/>
              <w:ind w:left="200"/>
              <w:rPr>
                <w:sz w:val="20"/>
              </w:rPr>
            </w:pPr>
            <w:r w:rsidRPr="003948BA">
              <w:rPr>
                <w:sz w:val="20"/>
              </w:rPr>
              <w:t>1.10</w:t>
            </w:r>
          </w:p>
          <w:p w:rsidR="00D5162D" w:rsidRPr="003948BA" w:rsidRDefault="00D5162D" w:rsidP="00294079">
            <w:pPr>
              <w:pStyle w:val="TableParagraph"/>
              <w:spacing w:line="226" w:lineRule="exact"/>
              <w:ind w:left="200"/>
              <w:rPr>
                <w:sz w:val="20"/>
              </w:rPr>
            </w:pPr>
            <w:r w:rsidRPr="003948BA">
              <w:rPr>
                <w:sz w:val="20"/>
              </w:rPr>
              <w:t>1.11</w:t>
            </w:r>
          </w:p>
          <w:p w:rsidR="00D5162D" w:rsidRPr="003948BA" w:rsidRDefault="00D5162D" w:rsidP="00294079">
            <w:pPr>
              <w:pStyle w:val="TableParagraph"/>
              <w:spacing w:line="226" w:lineRule="exact"/>
              <w:ind w:left="200"/>
              <w:rPr>
                <w:sz w:val="20"/>
              </w:rPr>
            </w:pPr>
            <w:r w:rsidRPr="003948BA">
              <w:rPr>
                <w:sz w:val="20"/>
              </w:rPr>
              <w:t>1.12</w:t>
            </w:r>
          </w:p>
          <w:p w:rsidR="00D5162D" w:rsidRPr="003948BA" w:rsidRDefault="00D5162D" w:rsidP="00294079">
            <w:pPr>
              <w:pStyle w:val="TableParagraph"/>
              <w:spacing w:line="226" w:lineRule="exact"/>
              <w:ind w:left="200"/>
              <w:rPr>
                <w:sz w:val="20"/>
              </w:rPr>
            </w:pPr>
          </w:p>
        </w:tc>
        <w:tc>
          <w:tcPr>
            <w:tcW w:w="7474" w:type="dxa"/>
          </w:tcPr>
          <w:p w:rsidR="00D5162D" w:rsidRPr="003948BA" w:rsidRDefault="00173787" w:rsidP="00294079">
            <w:pPr>
              <w:pStyle w:val="TableParagraph"/>
              <w:spacing w:line="226" w:lineRule="exact"/>
              <w:ind w:left="353"/>
              <w:rPr>
                <w:sz w:val="20"/>
              </w:rPr>
            </w:pPr>
            <w:hyperlink w:anchor="_bookmark8" w:history="1">
              <w:r w:rsidR="00D5162D" w:rsidRPr="003948BA">
                <w:rPr>
                  <w:sz w:val="20"/>
                </w:rPr>
                <w:t>Structure</w:t>
              </w:r>
            </w:hyperlink>
            <w:r w:rsidR="00D5162D" w:rsidRPr="003948BA">
              <w:rPr>
                <w:sz w:val="20"/>
              </w:rPr>
              <w:t xml:space="preserve"> of Scheme</w:t>
            </w:r>
          </w:p>
          <w:p w:rsidR="00D5162D" w:rsidRPr="003948BA" w:rsidRDefault="00D5162D" w:rsidP="00294079">
            <w:pPr>
              <w:pStyle w:val="TableParagraph"/>
              <w:spacing w:line="226" w:lineRule="exact"/>
              <w:ind w:left="353"/>
              <w:rPr>
                <w:sz w:val="20"/>
              </w:rPr>
            </w:pPr>
            <w:r w:rsidRPr="003948BA">
              <w:rPr>
                <w:sz w:val="20"/>
              </w:rPr>
              <w:t xml:space="preserve">Initial Offer and Initial </w:t>
            </w:r>
            <w:r w:rsidR="000355B0">
              <w:rPr>
                <w:sz w:val="20"/>
              </w:rPr>
              <w:t xml:space="preserve">Offering </w:t>
            </w:r>
            <w:r w:rsidRPr="003948BA">
              <w:rPr>
                <w:sz w:val="20"/>
              </w:rPr>
              <w:t>Period</w:t>
            </w:r>
          </w:p>
          <w:p w:rsidR="00D5162D" w:rsidRPr="003948BA" w:rsidRDefault="00D5162D" w:rsidP="00294079">
            <w:pPr>
              <w:pStyle w:val="TableParagraph"/>
              <w:spacing w:line="226" w:lineRule="exact"/>
              <w:ind w:left="353"/>
              <w:rPr>
                <w:sz w:val="20"/>
              </w:rPr>
            </w:pPr>
            <w:r w:rsidRPr="003948BA">
              <w:rPr>
                <w:sz w:val="20"/>
              </w:rPr>
              <w:t>Transactions in Units after Initial Offering Period</w:t>
            </w:r>
          </w:p>
          <w:p w:rsidR="00D5162D" w:rsidRPr="003948BA" w:rsidRDefault="00D5162D" w:rsidP="00294079">
            <w:pPr>
              <w:pStyle w:val="TableParagraph"/>
              <w:spacing w:line="226" w:lineRule="exact"/>
              <w:ind w:left="353"/>
              <w:rPr>
                <w:sz w:val="20"/>
              </w:rPr>
            </w:pPr>
            <w:r w:rsidRPr="003948BA">
              <w:rPr>
                <w:sz w:val="20"/>
              </w:rPr>
              <w:t>Principal Preservation</w:t>
            </w:r>
          </w:p>
        </w:tc>
        <w:tc>
          <w:tcPr>
            <w:tcW w:w="1196" w:type="dxa"/>
          </w:tcPr>
          <w:p w:rsidR="00D5162D" w:rsidRPr="003948BA" w:rsidRDefault="00173787" w:rsidP="00294079">
            <w:pPr>
              <w:pStyle w:val="TableParagraph"/>
              <w:spacing w:line="226" w:lineRule="exact"/>
              <w:ind w:left="0" w:right="207"/>
              <w:jc w:val="right"/>
              <w:rPr>
                <w:w w:val="96"/>
                <w:sz w:val="20"/>
              </w:rPr>
            </w:pPr>
            <w:hyperlink w:anchor="_bookmark8" w:history="1">
              <w:r w:rsidR="00D5162D" w:rsidRPr="003948BA">
                <w:rPr>
                  <w:w w:val="96"/>
                  <w:sz w:val="20"/>
                </w:rPr>
                <w:t>7</w:t>
              </w:r>
            </w:hyperlink>
          </w:p>
          <w:p w:rsidR="00D5162D" w:rsidRPr="003948BA" w:rsidRDefault="00D5162D" w:rsidP="00294079">
            <w:pPr>
              <w:pStyle w:val="TableParagraph"/>
              <w:spacing w:line="226" w:lineRule="exact"/>
              <w:ind w:left="0" w:right="207"/>
              <w:jc w:val="right"/>
              <w:rPr>
                <w:w w:val="96"/>
                <w:sz w:val="20"/>
              </w:rPr>
            </w:pPr>
            <w:r w:rsidRPr="003948BA">
              <w:rPr>
                <w:w w:val="96"/>
                <w:sz w:val="20"/>
              </w:rPr>
              <w:t>7</w:t>
            </w:r>
          </w:p>
          <w:p w:rsidR="00D5162D" w:rsidRPr="003948BA" w:rsidRDefault="00D5162D" w:rsidP="00294079">
            <w:pPr>
              <w:pStyle w:val="TableParagraph"/>
              <w:spacing w:line="226" w:lineRule="exact"/>
              <w:ind w:left="0" w:right="207"/>
              <w:jc w:val="right"/>
              <w:rPr>
                <w:w w:val="96"/>
                <w:sz w:val="20"/>
              </w:rPr>
            </w:pPr>
            <w:r w:rsidRPr="003948BA">
              <w:rPr>
                <w:w w:val="96"/>
                <w:sz w:val="20"/>
              </w:rPr>
              <w:t>8</w:t>
            </w:r>
          </w:p>
          <w:p w:rsidR="00D5162D" w:rsidRPr="003948BA" w:rsidRDefault="00D5162D" w:rsidP="00294079">
            <w:pPr>
              <w:pStyle w:val="TableParagraph"/>
              <w:spacing w:line="226" w:lineRule="exact"/>
              <w:ind w:left="0" w:right="207"/>
              <w:jc w:val="right"/>
              <w:rPr>
                <w:sz w:val="20"/>
              </w:rPr>
            </w:pPr>
            <w:r w:rsidRPr="003948BA">
              <w:rPr>
                <w:w w:val="96"/>
                <w:sz w:val="20"/>
              </w:rPr>
              <w:t>9</w:t>
            </w:r>
          </w:p>
        </w:tc>
      </w:tr>
      <w:tr w:rsidR="00D5162D" w:rsidRPr="003948BA" w:rsidTr="00294079">
        <w:trPr>
          <w:trHeight w:val="575"/>
        </w:trPr>
        <w:tc>
          <w:tcPr>
            <w:tcW w:w="905" w:type="dxa"/>
          </w:tcPr>
          <w:p w:rsidR="00D5162D" w:rsidRPr="003948BA" w:rsidRDefault="00173787" w:rsidP="00294079">
            <w:pPr>
              <w:pStyle w:val="TableParagraph"/>
              <w:spacing w:before="57"/>
              <w:ind w:left="200"/>
              <w:rPr>
                <w:b/>
                <w:sz w:val="20"/>
              </w:rPr>
            </w:pPr>
            <w:hyperlink w:anchor="_bookmark9" w:history="1">
              <w:r w:rsidR="00D5162D" w:rsidRPr="003948BA">
                <w:rPr>
                  <w:b/>
                  <w:sz w:val="20"/>
                </w:rPr>
                <w:t>2.</w:t>
              </w:r>
            </w:hyperlink>
          </w:p>
        </w:tc>
        <w:tc>
          <w:tcPr>
            <w:tcW w:w="7474" w:type="dxa"/>
          </w:tcPr>
          <w:p w:rsidR="00D5162D" w:rsidRPr="003948BA" w:rsidRDefault="00173787" w:rsidP="00294079">
            <w:pPr>
              <w:pStyle w:val="TableParagraph"/>
              <w:spacing w:before="57"/>
              <w:ind w:left="372" w:right="-15"/>
              <w:rPr>
                <w:b/>
                <w:sz w:val="20"/>
              </w:rPr>
            </w:pPr>
            <w:hyperlink w:anchor="_bookmark9" w:history="1">
              <w:r w:rsidR="00D5162D" w:rsidRPr="003948BA">
                <w:rPr>
                  <w:b/>
                  <w:sz w:val="20"/>
                </w:rPr>
                <w:t>INVESTMENT</w:t>
              </w:r>
              <w:r w:rsidR="00D5162D" w:rsidRPr="003948BA">
                <w:rPr>
                  <w:b/>
                  <w:spacing w:val="-5"/>
                  <w:sz w:val="20"/>
                </w:rPr>
                <w:t xml:space="preserve"> </w:t>
              </w:r>
              <w:r w:rsidR="00D5162D" w:rsidRPr="003948BA">
                <w:rPr>
                  <w:b/>
                  <w:sz w:val="20"/>
                </w:rPr>
                <w:t>OBJECTIVES,</w:t>
              </w:r>
              <w:r w:rsidR="00D5162D" w:rsidRPr="003948BA">
                <w:rPr>
                  <w:b/>
                  <w:spacing w:val="-5"/>
                  <w:sz w:val="20"/>
                </w:rPr>
                <w:t xml:space="preserve"> </w:t>
              </w:r>
              <w:r w:rsidR="00D5162D" w:rsidRPr="003948BA">
                <w:rPr>
                  <w:b/>
                  <w:sz w:val="20"/>
                </w:rPr>
                <w:t>INVESTMENT</w:t>
              </w:r>
              <w:r w:rsidR="00D5162D" w:rsidRPr="003948BA">
                <w:rPr>
                  <w:b/>
                  <w:spacing w:val="-6"/>
                  <w:sz w:val="20"/>
                </w:rPr>
                <w:t xml:space="preserve"> </w:t>
              </w:r>
              <w:r w:rsidR="00D5162D" w:rsidRPr="003948BA">
                <w:rPr>
                  <w:b/>
                  <w:sz w:val="20"/>
                </w:rPr>
                <w:t>POLICY,</w:t>
              </w:r>
              <w:r w:rsidR="00D5162D" w:rsidRPr="003948BA">
                <w:rPr>
                  <w:b/>
                  <w:spacing w:val="-5"/>
                  <w:sz w:val="20"/>
                </w:rPr>
                <w:t xml:space="preserve"> </w:t>
              </w:r>
              <w:r w:rsidR="00D5162D" w:rsidRPr="003948BA">
                <w:rPr>
                  <w:b/>
                  <w:sz w:val="20"/>
                </w:rPr>
                <w:t>RESTRICTIONS,</w:t>
              </w:r>
              <w:r w:rsidR="00D5162D" w:rsidRPr="003948BA">
                <w:rPr>
                  <w:b/>
                  <w:spacing w:val="-23"/>
                  <w:sz w:val="20"/>
                </w:rPr>
                <w:t xml:space="preserve"> </w:t>
              </w:r>
              <w:r w:rsidR="00D5162D" w:rsidRPr="003948BA">
                <w:rPr>
                  <w:b/>
                  <w:sz w:val="20"/>
                </w:rPr>
                <w:t>RISK</w:t>
              </w:r>
            </w:hyperlink>
            <w:r w:rsidR="00D5162D" w:rsidRPr="003948BA">
              <w:rPr>
                <w:b/>
                <w:sz w:val="20"/>
              </w:rPr>
              <w:t xml:space="preserve"> </w:t>
            </w:r>
            <w:hyperlink w:anchor="_bookmark9" w:history="1">
              <w:r w:rsidR="00D5162D" w:rsidRPr="003948BA">
                <w:rPr>
                  <w:b/>
                  <w:sz w:val="20"/>
                </w:rPr>
                <w:t>DISCLOSURE AND</w:t>
              </w:r>
              <w:r w:rsidR="00D5162D" w:rsidRPr="003948BA">
                <w:rPr>
                  <w:b/>
                  <w:spacing w:val="-5"/>
                  <w:sz w:val="20"/>
                </w:rPr>
                <w:t xml:space="preserve"> </w:t>
              </w:r>
              <w:r w:rsidR="00D5162D" w:rsidRPr="003948BA">
                <w:rPr>
                  <w:b/>
                  <w:sz w:val="20"/>
                </w:rPr>
                <w:t>DISCLAIMER</w:t>
              </w:r>
            </w:hyperlink>
          </w:p>
        </w:tc>
        <w:tc>
          <w:tcPr>
            <w:tcW w:w="1196" w:type="dxa"/>
          </w:tcPr>
          <w:p w:rsidR="00D5162D" w:rsidRPr="003948BA" w:rsidRDefault="00D5162D" w:rsidP="00294079">
            <w:pPr>
              <w:pStyle w:val="TableParagraph"/>
              <w:spacing w:before="9"/>
              <w:ind w:left="0"/>
              <w:rPr>
                <w:sz w:val="24"/>
              </w:rPr>
            </w:pPr>
          </w:p>
          <w:p w:rsidR="00D5162D" w:rsidRPr="003948BA" w:rsidRDefault="00173787" w:rsidP="00294079">
            <w:pPr>
              <w:pStyle w:val="TableParagraph"/>
              <w:ind w:left="0" w:right="207"/>
              <w:jc w:val="right"/>
              <w:rPr>
                <w:b/>
                <w:sz w:val="20"/>
              </w:rPr>
            </w:pPr>
            <w:hyperlink w:anchor="_bookmark9" w:history="1">
              <w:r w:rsidR="00D5162D" w:rsidRPr="003948BA">
                <w:rPr>
                  <w:b/>
                  <w:w w:val="96"/>
                  <w:sz w:val="20"/>
                </w:rPr>
                <w:t>7</w:t>
              </w:r>
            </w:hyperlink>
          </w:p>
        </w:tc>
      </w:tr>
      <w:tr w:rsidR="00D5162D" w:rsidRPr="003948BA" w:rsidTr="00294079">
        <w:trPr>
          <w:trHeight w:val="289"/>
        </w:trPr>
        <w:tc>
          <w:tcPr>
            <w:tcW w:w="905" w:type="dxa"/>
          </w:tcPr>
          <w:p w:rsidR="00D5162D" w:rsidRPr="003948BA" w:rsidRDefault="00173787" w:rsidP="00294079">
            <w:pPr>
              <w:pStyle w:val="TableParagraph"/>
              <w:spacing w:before="51" w:line="218" w:lineRule="exact"/>
              <w:ind w:left="200"/>
              <w:rPr>
                <w:sz w:val="20"/>
              </w:rPr>
            </w:pPr>
            <w:hyperlink w:anchor="_bookmark10" w:history="1">
              <w:r w:rsidR="00D5162D" w:rsidRPr="003948BA">
                <w:rPr>
                  <w:sz w:val="20"/>
                </w:rPr>
                <w:t>2.1</w:t>
              </w:r>
            </w:hyperlink>
          </w:p>
        </w:tc>
        <w:tc>
          <w:tcPr>
            <w:tcW w:w="7474" w:type="dxa"/>
          </w:tcPr>
          <w:p w:rsidR="00D5162D" w:rsidRPr="003948BA" w:rsidRDefault="00173787" w:rsidP="00294079">
            <w:pPr>
              <w:pStyle w:val="TableParagraph"/>
              <w:spacing w:before="51" w:line="218" w:lineRule="exact"/>
              <w:ind w:left="353"/>
              <w:rPr>
                <w:sz w:val="20"/>
              </w:rPr>
            </w:pPr>
            <w:hyperlink w:anchor="_bookmark10" w:history="1">
              <w:r w:rsidR="00D5162D" w:rsidRPr="003948BA">
                <w:rPr>
                  <w:sz w:val="20"/>
                </w:rPr>
                <w:t>Investment Objective</w:t>
              </w:r>
            </w:hyperlink>
          </w:p>
        </w:tc>
        <w:tc>
          <w:tcPr>
            <w:tcW w:w="1196" w:type="dxa"/>
          </w:tcPr>
          <w:p w:rsidR="00D5162D" w:rsidRPr="003948BA" w:rsidRDefault="00173787" w:rsidP="00294079">
            <w:pPr>
              <w:pStyle w:val="TableParagraph"/>
              <w:spacing w:before="51" w:line="218" w:lineRule="exact"/>
              <w:ind w:left="0" w:right="207"/>
              <w:jc w:val="right"/>
              <w:rPr>
                <w:sz w:val="20"/>
              </w:rPr>
            </w:pPr>
            <w:hyperlink w:anchor="_bookmark10" w:history="1">
              <w:r w:rsidR="00D5162D" w:rsidRPr="003948BA">
                <w:rPr>
                  <w:w w:val="96"/>
                  <w:sz w:val="20"/>
                </w:rPr>
                <w:t>7</w:t>
              </w:r>
            </w:hyperlink>
          </w:p>
        </w:tc>
      </w:tr>
      <w:tr w:rsidR="00D5162D" w:rsidRPr="003948BA" w:rsidTr="00294079">
        <w:trPr>
          <w:trHeight w:val="234"/>
        </w:trPr>
        <w:tc>
          <w:tcPr>
            <w:tcW w:w="905" w:type="dxa"/>
          </w:tcPr>
          <w:p w:rsidR="00D5162D" w:rsidRPr="003948BA" w:rsidRDefault="00173787" w:rsidP="00294079">
            <w:pPr>
              <w:pStyle w:val="TableParagraph"/>
              <w:spacing w:line="214" w:lineRule="exact"/>
              <w:ind w:left="200"/>
              <w:rPr>
                <w:sz w:val="20"/>
              </w:rPr>
            </w:pPr>
            <w:hyperlink w:anchor="_bookmark11" w:history="1">
              <w:r w:rsidR="00D5162D" w:rsidRPr="003948BA">
                <w:rPr>
                  <w:sz w:val="20"/>
                </w:rPr>
                <w:t>2.2</w:t>
              </w:r>
            </w:hyperlink>
          </w:p>
        </w:tc>
        <w:tc>
          <w:tcPr>
            <w:tcW w:w="7474" w:type="dxa"/>
          </w:tcPr>
          <w:p w:rsidR="00D5162D" w:rsidRPr="003948BA" w:rsidRDefault="00173787" w:rsidP="00294079">
            <w:pPr>
              <w:pStyle w:val="TableParagraph"/>
              <w:spacing w:line="214" w:lineRule="exact"/>
              <w:ind w:left="353"/>
              <w:rPr>
                <w:sz w:val="20"/>
              </w:rPr>
            </w:pPr>
            <w:hyperlink w:anchor="_bookmark11" w:history="1">
              <w:r w:rsidR="00D5162D" w:rsidRPr="003948BA">
                <w:rPr>
                  <w:sz w:val="20"/>
                </w:rPr>
                <w:t>Allocation Plans</w:t>
              </w:r>
            </w:hyperlink>
          </w:p>
        </w:tc>
        <w:tc>
          <w:tcPr>
            <w:tcW w:w="1196" w:type="dxa"/>
          </w:tcPr>
          <w:p w:rsidR="00D5162D" w:rsidRPr="003948BA" w:rsidRDefault="00173787" w:rsidP="00294079">
            <w:pPr>
              <w:pStyle w:val="TableParagraph"/>
              <w:spacing w:line="214" w:lineRule="exact"/>
              <w:ind w:left="0" w:right="207"/>
              <w:jc w:val="right"/>
              <w:rPr>
                <w:sz w:val="20"/>
              </w:rPr>
            </w:pPr>
            <w:hyperlink w:anchor="_bookmark11" w:history="1">
              <w:r w:rsidR="00D5162D" w:rsidRPr="003948BA">
                <w:rPr>
                  <w:w w:val="96"/>
                  <w:sz w:val="20"/>
                </w:rPr>
                <w:t>7</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12" w:history="1">
              <w:r w:rsidR="00D5162D" w:rsidRPr="003948BA">
                <w:rPr>
                  <w:sz w:val="20"/>
                </w:rPr>
                <w:t>2.3</w:t>
              </w:r>
            </w:hyperlink>
          </w:p>
        </w:tc>
        <w:tc>
          <w:tcPr>
            <w:tcW w:w="7474" w:type="dxa"/>
          </w:tcPr>
          <w:p w:rsidR="00D5162D" w:rsidRPr="003948BA" w:rsidRDefault="00173787" w:rsidP="00294079">
            <w:pPr>
              <w:pStyle w:val="TableParagraph"/>
              <w:spacing w:line="210" w:lineRule="exact"/>
              <w:ind w:left="353"/>
              <w:rPr>
                <w:sz w:val="20"/>
              </w:rPr>
            </w:pPr>
            <w:hyperlink w:anchor="_bookmark12" w:history="1">
              <w:r w:rsidR="00D5162D" w:rsidRPr="003948BA">
                <w:rPr>
                  <w:sz w:val="20"/>
                </w:rPr>
                <w:t>Investments outside Pakistan</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12" w:history="1">
              <w:r w:rsidR="00D5162D" w:rsidRPr="003948BA">
                <w:rPr>
                  <w:sz w:val="20"/>
                </w:rPr>
                <w:t>12</w:t>
              </w:r>
            </w:hyperlink>
          </w:p>
        </w:tc>
      </w:tr>
      <w:tr w:rsidR="00D5162D" w:rsidRPr="003948BA" w:rsidTr="00294079">
        <w:trPr>
          <w:trHeight w:val="229"/>
        </w:trPr>
        <w:tc>
          <w:tcPr>
            <w:tcW w:w="905" w:type="dxa"/>
          </w:tcPr>
          <w:p w:rsidR="00D5162D" w:rsidRPr="003948BA" w:rsidRDefault="00173787" w:rsidP="00294079">
            <w:pPr>
              <w:pStyle w:val="TableParagraph"/>
              <w:spacing w:line="209" w:lineRule="exact"/>
              <w:ind w:left="200"/>
              <w:rPr>
                <w:sz w:val="20"/>
              </w:rPr>
            </w:pPr>
            <w:hyperlink w:anchor="_bookmark13" w:history="1">
              <w:r w:rsidR="00D5162D" w:rsidRPr="003948BA">
                <w:rPr>
                  <w:sz w:val="20"/>
                </w:rPr>
                <w:t>2.4</w:t>
              </w:r>
            </w:hyperlink>
          </w:p>
        </w:tc>
        <w:tc>
          <w:tcPr>
            <w:tcW w:w="7474" w:type="dxa"/>
          </w:tcPr>
          <w:p w:rsidR="00D5162D" w:rsidRPr="003948BA" w:rsidRDefault="00173787" w:rsidP="00294079">
            <w:pPr>
              <w:pStyle w:val="TableParagraph"/>
              <w:spacing w:line="209" w:lineRule="exact"/>
              <w:ind w:left="353"/>
              <w:rPr>
                <w:sz w:val="20"/>
              </w:rPr>
            </w:pPr>
            <w:hyperlink w:anchor="_bookmark13" w:history="1">
              <w:r w:rsidR="00D5162D" w:rsidRPr="003948BA">
                <w:rPr>
                  <w:sz w:val="20"/>
                </w:rPr>
                <w:t>Disposal of Haram income</w:t>
              </w:r>
            </w:hyperlink>
          </w:p>
        </w:tc>
        <w:tc>
          <w:tcPr>
            <w:tcW w:w="1196" w:type="dxa"/>
          </w:tcPr>
          <w:p w:rsidR="00D5162D" w:rsidRPr="003948BA" w:rsidRDefault="00173787" w:rsidP="00294079">
            <w:pPr>
              <w:pStyle w:val="TableParagraph"/>
              <w:spacing w:line="209" w:lineRule="exact"/>
              <w:ind w:left="0" w:right="198"/>
              <w:jc w:val="right"/>
              <w:rPr>
                <w:sz w:val="20"/>
              </w:rPr>
            </w:pPr>
            <w:hyperlink w:anchor="_bookmark13" w:history="1">
              <w:r w:rsidR="00D5162D" w:rsidRPr="003948BA">
                <w:rPr>
                  <w:sz w:val="20"/>
                </w:rPr>
                <w:t>12</w:t>
              </w:r>
            </w:hyperlink>
          </w:p>
        </w:tc>
      </w:tr>
      <w:tr w:rsidR="00D5162D" w:rsidRPr="003948BA" w:rsidTr="00294079">
        <w:trPr>
          <w:trHeight w:val="229"/>
        </w:trPr>
        <w:tc>
          <w:tcPr>
            <w:tcW w:w="905" w:type="dxa"/>
          </w:tcPr>
          <w:p w:rsidR="00D5162D" w:rsidRPr="003948BA" w:rsidRDefault="00173787" w:rsidP="00294079">
            <w:pPr>
              <w:pStyle w:val="TableParagraph"/>
              <w:spacing w:line="209" w:lineRule="exact"/>
              <w:ind w:left="200"/>
              <w:rPr>
                <w:sz w:val="20"/>
              </w:rPr>
            </w:pPr>
            <w:hyperlink w:anchor="_bookmark14" w:history="1">
              <w:r w:rsidR="00D5162D" w:rsidRPr="003948BA">
                <w:rPr>
                  <w:sz w:val="20"/>
                </w:rPr>
                <w:t>2.5</w:t>
              </w:r>
            </w:hyperlink>
          </w:p>
        </w:tc>
        <w:tc>
          <w:tcPr>
            <w:tcW w:w="7474" w:type="dxa"/>
          </w:tcPr>
          <w:p w:rsidR="00D5162D" w:rsidRPr="003948BA" w:rsidRDefault="00173787" w:rsidP="00294079">
            <w:pPr>
              <w:pStyle w:val="TableParagraph"/>
              <w:spacing w:line="209" w:lineRule="exact"/>
              <w:ind w:left="353"/>
              <w:rPr>
                <w:sz w:val="20"/>
              </w:rPr>
            </w:pPr>
            <w:hyperlink w:anchor="_bookmark14" w:history="1">
              <w:r w:rsidR="00D5162D" w:rsidRPr="003948BA">
                <w:rPr>
                  <w:sz w:val="20"/>
                </w:rPr>
                <w:t>Changes in Investment Policy</w:t>
              </w:r>
            </w:hyperlink>
          </w:p>
        </w:tc>
        <w:tc>
          <w:tcPr>
            <w:tcW w:w="1196" w:type="dxa"/>
          </w:tcPr>
          <w:p w:rsidR="00D5162D" w:rsidRPr="003948BA" w:rsidRDefault="00173787" w:rsidP="00294079">
            <w:pPr>
              <w:pStyle w:val="TableParagraph"/>
              <w:spacing w:line="209" w:lineRule="exact"/>
              <w:ind w:left="0" w:right="198"/>
              <w:jc w:val="right"/>
              <w:rPr>
                <w:sz w:val="20"/>
              </w:rPr>
            </w:pPr>
            <w:hyperlink w:anchor="_bookmark14" w:history="1">
              <w:r w:rsidR="00D5162D" w:rsidRPr="003948BA">
                <w:rPr>
                  <w:sz w:val="20"/>
                </w:rPr>
                <w:t>12</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15" w:history="1">
              <w:r w:rsidR="00D5162D" w:rsidRPr="003948BA">
                <w:rPr>
                  <w:sz w:val="20"/>
                </w:rPr>
                <w:t>2.6</w:t>
              </w:r>
            </w:hyperlink>
          </w:p>
        </w:tc>
        <w:tc>
          <w:tcPr>
            <w:tcW w:w="7474" w:type="dxa"/>
          </w:tcPr>
          <w:p w:rsidR="00D5162D" w:rsidRPr="003948BA" w:rsidRDefault="00173787" w:rsidP="00294079">
            <w:pPr>
              <w:pStyle w:val="TableParagraph"/>
              <w:spacing w:line="210" w:lineRule="exact"/>
              <w:ind w:left="353"/>
              <w:rPr>
                <w:sz w:val="20"/>
              </w:rPr>
            </w:pPr>
            <w:hyperlink w:anchor="_bookmark15" w:history="1">
              <w:r w:rsidR="00D5162D" w:rsidRPr="003948BA">
                <w:rPr>
                  <w:sz w:val="20"/>
                </w:rPr>
                <w:t>Investment Restrictions</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15" w:history="1">
              <w:r w:rsidR="00D5162D" w:rsidRPr="003948BA">
                <w:rPr>
                  <w:sz w:val="20"/>
                </w:rPr>
                <w:t>12</w:t>
              </w:r>
            </w:hyperlink>
          </w:p>
        </w:tc>
      </w:tr>
      <w:tr w:rsidR="00D5162D" w:rsidRPr="003948BA" w:rsidTr="00294079">
        <w:trPr>
          <w:trHeight w:val="219"/>
        </w:trPr>
        <w:tc>
          <w:tcPr>
            <w:tcW w:w="905" w:type="dxa"/>
          </w:tcPr>
          <w:p w:rsidR="00D5162D" w:rsidRPr="003948BA" w:rsidRDefault="00173787" w:rsidP="00294079">
            <w:pPr>
              <w:pStyle w:val="TableParagraph"/>
              <w:spacing w:line="199" w:lineRule="exact"/>
              <w:ind w:left="200"/>
              <w:rPr>
                <w:sz w:val="20"/>
              </w:rPr>
            </w:pPr>
            <w:hyperlink w:anchor="_bookmark16" w:history="1">
              <w:r w:rsidR="00D5162D" w:rsidRPr="003948BA">
                <w:rPr>
                  <w:sz w:val="20"/>
                </w:rPr>
                <w:t>2.7</w:t>
              </w:r>
            </w:hyperlink>
          </w:p>
        </w:tc>
        <w:tc>
          <w:tcPr>
            <w:tcW w:w="7474" w:type="dxa"/>
          </w:tcPr>
          <w:p w:rsidR="00D5162D" w:rsidRPr="003948BA" w:rsidRDefault="00173787" w:rsidP="00294079">
            <w:pPr>
              <w:pStyle w:val="TableParagraph"/>
              <w:spacing w:line="199" w:lineRule="exact"/>
              <w:ind w:left="353"/>
              <w:rPr>
                <w:sz w:val="20"/>
              </w:rPr>
            </w:pPr>
            <w:hyperlink w:anchor="_bookmark16" w:history="1">
              <w:r w:rsidR="00D5162D" w:rsidRPr="003948BA">
                <w:rPr>
                  <w:sz w:val="20"/>
                </w:rPr>
                <w:t>Exemption to Investment Restrictions</w:t>
              </w:r>
            </w:hyperlink>
          </w:p>
        </w:tc>
        <w:tc>
          <w:tcPr>
            <w:tcW w:w="1196" w:type="dxa"/>
          </w:tcPr>
          <w:p w:rsidR="00D5162D" w:rsidRPr="003948BA" w:rsidRDefault="00173787" w:rsidP="00294079">
            <w:pPr>
              <w:pStyle w:val="TableParagraph"/>
              <w:spacing w:line="199" w:lineRule="exact"/>
              <w:ind w:left="0" w:right="198"/>
              <w:jc w:val="right"/>
              <w:rPr>
                <w:sz w:val="20"/>
              </w:rPr>
            </w:pPr>
            <w:hyperlink w:anchor="_bookmark16" w:history="1">
              <w:r w:rsidR="00D5162D" w:rsidRPr="003948BA">
                <w:rPr>
                  <w:sz w:val="20"/>
                </w:rPr>
                <w:t>14</w:t>
              </w:r>
            </w:hyperlink>
          </w:p>
        </w:tc>
      </w:tr>
      <w:tr w:rsidR="00D5162D" w:rsidRPr="003948BA" w:rsidTr="00294079">
        <w:trPr>
          <w:trHeight w:val="243"/>
        </w:trPr>
        <w:tc>
          <w:tcPr>
            <w:tcW w:w="905" w:type="dxa"/>
          </w:tcPr>
          <w:p w:rsidR="00D5162D" w:rsidRPr="003948BA" w:rsidRDefault="00173787" w:rsidP="00294079">
            <w:pPr>
              <w:pStyle w:val="TableParagraph"/>
              <w:spacing w:before="7" w:line="217" w:lineRule="exact"/>
              <w:ind w:left="200"/>
              <w:rPr>
                <w:sz w:val="20"/>
              </w:rPr>
            </w:pPr>
            <w:hyperlink w:anchor="_bookmark17" w:history="1">
              <w:r w:rsidR="00D5162D" w:rsidRPr="003948BA">
                <w:rPr>
                  <w:sz w:val="20"/>
                </w:rPr>
                <w:t>2.8</w:t>
              </w:r>
            </w:hyperlink>
          </w:p>
        </w:tc>
        <w:tc>
          <w:tcPr>
            <w:tcW w:w="7474" w:type="dxa"/>
          </w:tcPr>
          <w:p w:rsidR="00D5162D" w:rsidRPr="003948BA" w:rsidRDefault="00D5162D" w:rsidP="00294079">
            <w:pPr>
              <w:pStyle w:val="TableParagraph"/>
              <w:spacing w:line="223" w:lineRule="exact"/>
              <w:ind w:left="353"/>
            </w:pPr>
            <w:r w:rsidRPr="003948BA">
              <w:rPr>
                <w:color w:val="221F1F"/>
                <w:sz w:val="20"/>
              </w:rPr>
              <w:t>Shariah compliant Financing Arrangements Restrictions</w:t>
            </w:r>
          </w:p>
        </w:tc>
        <w:tc>
          <w:tcPr>
            <w:tcW w:w="1196" w:type="dxa"/>
          </w:tcPr>
          <w:p w:rsidR="00D5162D" w:rsidRPr="003948BA" w:rsidRDefault="00173787" w:rsidP="00294079">
            <w:pPr>
              <w:pStyle w:val="TableParagraph"/>
              <w:spacing w:before="7" w:line="217" w:lineRule="exact"/>
              <w:ind w:left="0" w:right="198"/>
              <w:jc w:val="right"/>
              <w:rPr>
                <w:sz w:val="20"/>
              </w:rPr>
            </w:pPr>
            <w:hyperlink w:anchor="_bookmark17" w:history="1">
              <w:r w:rsidR="00D5162D" w:rsidRPr="003948BA">
                <w:rPr>
                  <w:sz w:val="20"/>
                </w:rPr>
                <w:t>14</w:t>
              </w:r>
            </w:hyperlink>
          </w:p>
        </w:tc>
      </w:tr>
      <w:tr w:rsidR="00D5162D" w:rsidRPr="003948BA" w:rsidTr="00294079">
        <w:trPr>
          <w:trHeight w:val="227"/>
        </w:trPr>
        <w:tc>
          <w:tcPr>
            <w:tcW w:w="905" w:type="dxa"/>
          </w:tcPr>
          <w:p w:rsidR="00D5162D" w:rsidRPr="003948BA" w:rsidRDefault="00173787" w:rsidP="00294079">
            <w:pPr>
              <w:pStyle w:val="TableParagraph"/>
              <w:spacing w:line="207" w:lineRule="exact"/>
              <w:ind w:left="200"/>
              <w:rPr>
                <w:sz w:val="20"/>
              </w:rPr>
            </w:pPr>
            <w:hyperlink w:anchor="_bookmark18" w:history="1">
              <w:r w:rsidR="00D5162D" w:rsidRPr="003948BA">
                <w:rPr>
                  <w:sz w:val="20"/>
                </w:rPr>
                <w:t>2.9</w:t>
              </w:r>
            </w:hyperlink>
          </w:p>
        </w:tc>
        <w:tc>
          <w:tcPr>
            <w:tcW w:w="7474" w:type="dxa"/>
          </w:tcPr>
          <w:p w:rsidR="00D5162D" w:rsidRPr="003948BA" w:rsidRDefault="00173787" w:rsidP="00294079">
            <w:pPr>
              <w:pStyle w:val="TableParagraph"/>
              <w:spacing w:line="207" w:lineRule="exact"/>
              <w:ind w:left="353"/>
              <w:rPr>
                <w:sz w:val="20"/>
              </w:rPr>
            </w:pPr>
            <w:hyperlink w:anchor="_bookmark18" w:history="1">
              <w:r w:rsidR="00D5162D" w:rsidRPr="003948BA">
                <w:rPr>
                  <w:sz w:val="20"/>
                </w:rPr>
                <w:t>Restriction of Transactions with Connected Persons</w:t>
              </w:r>
            </w:hyperlink>
          </w:p>
        </w:tc>
        <w:tc>
          <w:tcPr>
            <w:tcW w:w="1196" w:type="dxa"/>
          </w:tcPr>
          <w:p w:rsidR="00D5162D" w:rsidRPr="003948BA" w:rsidRDefault="00173787" w:rsidP="00294079">
            <w:pPr>
              <w:pStyle w:val="TableParagraph"/>
              <w:spacing w:line="207" w:lineRule="exact"/>
              <w:ind w:left="0" w:right="198"/>
              <w:jc w:val="right"/>
              <w:rPr>
                <w:sz w:val="20"/>
              </w:rPr>
            </w:pPr>
            <w:hyperlink w:anchor="_bookmark18" w:history="1">
              <w:r w:rsidR="00D5162D" w:rsidRPr="003948BA">
                <w:rPr>
                  <w:sz w:val="20"/>
                </w:rPr>
                <w:t>15</w:t>
              </w:r>
            </w:hyperlink>
          </w:p>
        </w:tc>
      </w:tr>
      <w:tr w:rsidR="00D5162D" w:rsidRPr="003948BA" w:rsidTr="00294079">
        <w:trPr>
          <w:trHeight w:val="227"/>
        </w:trPr>
        <w:tc>
          <w:tcPr>
            <w:tcW w:w="905" w:type="dxa"/>
          </w:tcPr>
          <w:p w:rsidR="00D5162D" w:rsidRPr="003948BA" w:rsidRDefault="00173787" w:rsidP="00294079">
            <w:pPr>
              <w:pStyle w:val="TableParagraph"/>
              <w:spacing w:line="208" w:lineRule="exact"/>
              <w:ind w:left="200"/>
              <w:rPr>
                <w:sz w:val="20"/>
              </w:rPr>
            </w:pPr>
            <w:hyperlink w:anchor="_bookmark19" w:history="1">
              <w:r w:rsidR="00D5162D" w:rsidRPr="003948BA">
                <w:rPr>
                  <w:sz w:val="20"/>
                </w:rPr>
                <w:t>2.10</w:t>
              </w:r>
            </w:hyperlink>
          </w:p>
        </w:tc>
        <w:tc>
          <w:tcPr>
            <w:tcW w:w="7474" w:type="dxa"/>
          </w:tcPr>
          <w:p w:rsidR="00D5162D" w:rsidRPr="003948BA" w:rsidRDefault="00173787" w:rsidP="00294079">
            <w:pPr>
              <w:pStyle w:val="TableParagraph"/>
              <w:spacing w:line="208" w:lineRule="exact"/>
              <w:ind w:left="353"/>
              <w:rPr>
                <w:sz w:val="20"/>
              </w:rPr>
            </w:pPr>
            <w:hyperlink w:anchor="_bookmark19" w:history="1">
              <w:r w:rsidR="00D5162D" w:rsidRPr="003948BA">
                <w:rPr>
                  <w:sz w:val="20"/>
                </w:rPr>
                <w:t>Risk Disclosure</w:t>
              </w:r>
            </w:hyperlink>
          </w:p>
        </w:tc>
        <w:tc>
          <w:tcPr>
            <w:tcW w:w="1196" w:type="dxa"/>
          </w:tcPr>
          <w:p w:rsidR="00D5162D" w:rsidRPr="003948BA" w:rsidRDefault="00173787" w:rsidP="00294079">
            <w:pPr>
              <w:pStyle w:val="TableParagraph"/>
              <w:spacing w:line="208" w:lineRule="exact"/>
              <w:ind w:left="0" w:right="198"/>
              <w:jc w:val="right"/>
              <w:rPr>
                <w:sz w:val="20"/>
              </w:rPr>
            </w:pPr>
            <w:hyperlink w:anchor="_bookmark19" w:history="1">
              <w:r w:rsidR="00D5162D" w:rsidRPr="003948BA">
                <w:rPr>
                  <w:sz w:val="20"/>
                </w:rPr>
                <w:t>15</w:t>
              </w:r>
            </w:hyperlink>
          </w:p>
        </w:tc>
      </w:tr>
      <w:tr w:rsidR="00D5162D" w:rsidRPr="003948BA" w:rsidTr="00294079">
        <w:trPr>
          <w:trHeight w:val="292"/>
        </w:trPr>
        <w:tc>
          <w:tcPr>
            <w:tcW w:w="905" w:type="dxa"/>
          </w:tcPr>
          <w:p w:rsidR="00D5162D" w:rsidRPr="003948BA" w:rsidRDefault="00173787" w:rsidP="00294079">
            <w:pPr>
              <w:pStyle w:val="TableParagraph"/>
              <w:spacing w:line="224" w:lineRule="exact"/>
              <w:ind w:left="200"/>
              <w:rPr>
                <w:sz w:val="20"/>
              </w:rPr>
            </w:pPr>
            <w:hyperlink w:anchor="_bookmark20" w:history="1">
              <w:r w:rsidR="00D5162D" w:rsidRPr="003948BA">
                <w:rPr>
                  <w:sz w:val="20"/>
                </w:rPr>
                <w:t>2.11</w:t>
              </w:r>
            </w:hyperlink>
          </w:p>
        </w:tc>
        <w:tc>
          <w:tcPr>
            <w:tcW w:w="7474" w:type="dxa"/>
          </w:tcPr>
          <w:p w:rsidR="00D5162D" w:rsidRPr="003948BA" w:rsidRDefault="00173787" w:rsidP="00294079">
            <w:pPr>
              <w:pStyle w:val="TableParagraph"/>
              <w:spacing w:line="224" w:lineRule="exact"/>
              <w:ind w:left="353"/>
              <w:rPr>
                <w:sz w:val="20"/>
              </w:rPr>
            </w:pPr>
            <w:hyperlink w:anchor="_bookmark20" w:history="1">
              <w:r w:rsidR="00D5162D" w:rsidRPr="003948BA">
                <w:rPr>
                  <w:sz w:val="20"/>
                </w:rPr>
                <w:t>Disclaimer</w:t>
              </w:r>
            </w:hyperlink>
          </w:p>
        </w:tc>
        <w:tc>
          <w:tcPr>
            <w:tcW w:w="1196" w:type="dxa"/>
          </w:tcPr>
          <w:p w:rsidR="00D5162D" w:rsidRPr="003948BA" w:rsidRDefault="00173787" w:rsidP="00294079">
            <w:pPr>
              <w:pStyle w:val="TableParagraph"/>
              <w:spacing w:line="224" w:lineRule="exact"/>
              <w:ind w:left="0" w:right="198"/>
              <w:jc w:val="right"/>
              <w:rPr>
                <w:sz w:val="20"/>
              </w:rPr>
            </w:pPr>
            <w:hyperlink w:anchor="_bookmark20" w:history="1">
              <w:r w:rsidR="00D5162D" w:rsidRPr="003948BA">
                <w:rPr>
                  <w:sz w:val="20"/>
                </w:rPr>
                <w:t>17</w:t>
              </w:r>
            </w:hyperlink>
          </w:p>
        </w:tc>
      </w:tr>
      <w:tr w:rsidR="00D5162D" w:rsidRPr="003948BA" w:rsidTr="00294079">
        <w:trPr>
          <w:trHeight w:val="347"/>
        </w:trPr>
        <w:tc>
          <w:tcPr>
            <w:tcW w:w="905" w:type="dxa"/>
          </w:tcPr>
          <w:p w:rsidR="00D5162D" w:rsidRPr="003948BA" w:rsidRDefault="00173787" w:rsidP="00294079">
            <w:pPr>
              <w:pStyle w:val="TableParagraph"/>
              <w:spacing w:before="59"/>
              <w:ind w:left="200"/>
              <w:rPr>
                <w:b/>
                <w:sz w:val="20"/>
              </w:rPr>
            </w:pPr>
            <w:hyperlink w:anchor="_bookmark21" w:history="1">
              <w:r w:rsidR="00D5162D" w:rsidRPr="003948BA">
                <w:rPr>
                  <w:b/>
                  <w:sz w:val="20"/>
                </w:rPr>
                <w:t>3.</w:t>
              </w:r>
            </w:hyperlink>
          </w:p>
        </w:tc>
        <w:tc>
          <w:tcPr>
            <w:tcW w:w="7474" w:type="dxa"/>
          </w:tcPr>
          <w:p w:rsidR="00D5162D" w:rsidRPr="003948BA" w:rsidRDefault="00173787" w:rsidP="00294079">
            <w:pPr>
              <w:pStyle w:val="TableParagraph"/>
              <w:spacing w:before="59"/>
              <w:ind w:left="372"/>
              <w:rPr>
                <w:b/>
                <w:sz w:val="20"/>
              </w:rPr>
            </w:pPr>
            <w:hyperlink w:anchor="_bookmark21" w:history="1">
              <w:r w:rsidR="00D5162D" w:rsidRPr="003948BA">
                <w:rPr>
                  <w:b/>
                  <w:sz w:val="20"/>
                </w:rPr>
                <w:t>OPERATORS AND PRINCIPALS</w:t>
              </w:r>
            </w:hyperlink>
          </w:p>
        </w:tc>
        <w:tc>
          <w:tcPr>
            <w:tcW w:w="1196" w:type="dxa"/>
          </w:tcPr>
          <w:p w:rsidR="00D5162D" w:rsidRPr="003948BA" w:rsidRDefault="00173787" w:rsidP="00294079">
            <w:pPr>
              <w:pStyle w:val="TableParagraph"/>
              <w:spacing w:before="59"/>
              <w:ind w:left="0" w:right="198"/>
              <w:jc w:val="right"/>
              <w:rPr>
                <w:b/>
                <w:sz w:val="20"/>
              </w:rPr>
            </w:pPr>
            <w:hyperlink w:anchor="_bookmark21" w:history="1">
              <w:r w:rsidR="00D5162D" w:rsidRPr="003948BA">
                <w:rPr>
                  <w:b/>
                  <w:sz w:val="20"/>
                </w:rPr>
                <w:t>17</w:t>
              </w:r>
            </w:hyperlink>
          </w:p>
        </w:tc>
      </w:tr>
      <w:tr w:rsidR="00D5162D" w:rsidRPr="003948BA" w:rsidTr="00294079">
        <w:trPr>
          <w:trHeight w:val="286"/>
        </w:trPr>
        <w:tc>
          <w:tcPr>
            <w:tcW w:w="905" w:type="dxa"/>
          </w:tcPr>
          <w:p w:rsidR="00D5162D" w:rsidRPr="003948BA" w:rsidRDefault="00173787" w:rsidP="00294079">
            <w:pPr>
              <w:pStyle w:val="TableParagraph"/>
              <w:spacing w:before="48" w:line="218" w:lineRule="exact"/>
              <w:ind w:left="200"/>
              <w:rPr>
                <w:sz w:val="20"/>
              </w:rPr>
            </w:pPr>
            <w:hyperlink w:anchor="_bookmark22" w:history="1">
              <w:r w:rsidR="00D5162D" w:rsidRPr="003948BA">
                <w:rPr>
                  <w:sz w:val="20"/>
                </w:rPr>
                <w:t>3.1</w:t>
              </w:r>
            </w:hyperlink>
          </w:p>
        </w:tc>
        <w:tc>
          <w:tcPr>
            <w:tcW w:w="7474" w:type="dxa"/>
          </w:tcPr>
          <w:p w:rsidR="00D5162D" w:rsidRPr="003948BA" w:rsidRDefault="00173787" w:rsidP="00294079">
            <w:pPr>
              <w:pStyle w:val="TableParagraph"/>
              <w:spacing w:before="48" w:line="218" w:lineRule="exact"/>
              <w:ind w:left="353"/>
              <w:rPr>
                <w:sz w:val="20"/>
              </w:rPr>
            </w:pPr>
            <w:hyperlink w:anchor="_bookmark22" w:history="1">
              <w:r w:rsidR="00D5162D" w:rsidRPr="003948BA">
                <w:rPr>
                  <w:sz w:val="20"/>
                </w:rPr>
                <w:t>Management Company</w:t>
              </w:r>
            </w:hyperlink>
          </w:p>
        </w:tc>
        <w:tc>
          <w:tcPr>
            <w:tcW w:w="1196" w:type="dxa"/>
          </w:tcPr>
          <w:p w:rsidR="00D5162D" w:rsidRPr="003948BA" w:rsidRDefault="00173787" w:rsidP="00294079">
            <w:pPr>
              <w:pStyle w:val="TableParagraph"/>
              <w:spacing w:before="48" w:line="218" w:lineRule="exact"/>
              <w:ind w:left="0" w:right="198"/>
              <w:jc w:val="right"/>
              <w:rPr>
                <w:sz w:val="20"/>
              </w:rPr>
            </w:pPr>
            <w:hyperlink w:anchor="_bookmark22" w:history="1">
              <w:r w:rsidR="00D5162D" w:rsidRPr="003948BA">
                <w:rPr>
                  <w:sz w:val="20"/>
                </w:rPr>
                <w:t>17</w:t>
              </w:r>
            </w:hyperlink>
          </w:p>
        </w:tc>
      </w:tr>
      <w:tr w:rsidR="00D5162D" w:rsidRPr="003948BA" w:rsidTr="00294079">
        <w:trPr>
          <w:trHeight w:val="233"/>
        </w:trPr>
        <w:tc>
          <w:tcPr>
            <w:tcW w:w="905" w:type="dxa"/>
          </w:tcPr>
          <w:p w:rsidR="00D5162D" w:rsidRPr="003948BA" w:rsidRDefault="00173787" w:rsidP="00294079">
            <w:pPr>
              <w:pStyle w:val="TableParagraph"/>
              <w:spacing w:line="214" w:lineRule="exact"/>
              <w:ind w:left="200"/>
              <w:rPr>
                <w:sz w:val="20"/>
              </w:rPr>
            </w:pPr>
            <w:hyperlink w:anchor="_bookmark23" w:history="1">
              <w:r w:rsidR="00D5162D" w:rsidRPr="003948BA">
                <w:rPr>
                  <w:sz w:val="20"/>
                </w:rPr>
                <w:t>3.2</w:t>
              </w:r>
            </w:hyperlink>
          </w:p>
        </w:tc>
        <w:tc>
          <w:tcPr>
            <w:tcW w:w="7474" w:type="dxa"/>
          </w:tcPr>
          <w:p w:rsidR="00D5162D" w:rsidRPr="003948BA" w:rsidRDefault="00173787" w:rsidP="00294079">
            <w:pPr>
              <w:pStyle w:val="TableParagraph"/>
              <w:spacing w:line="214" w:lineRule="exact"/>
              <w:ind w:left="353"/>
              <w:rPr>
                <w:sz w:val="20"/>
              </w:rPr>
            </w:pPr>
            <w:hyperlink w:anchor="_bookmark23" w:history="1">
              <w:r w:rsidR="00D5162D" w:rsidRPr="003948BA">
                <w:rPr>
                  <w:sz w:val="20"/>
                </w:rPr>
                <w:t>Organization - Principal Shareholders</w:t>
              </w:r>
            </w:hyperlink>
          </w:p>
        </w:tc>
        <w:tc>
          <w:tcPr>
            <w:tcW w:w="1196" w:type="dxa"/>
          </w:tcPr>
          <w:p w:rsidR="00D5162D" w:rsidRPr="003948BA" w:rsidRDefault="00173787" w:rsidP="00294079">
            <w:pPr>
              <w:pStyle w:val="TableParagraph"/>
              <w:spacing w:line="214" w:lineRule="exact"/>
              <w:ind w:left="0" w:right="198"/>
              <w:jc w:val="right"/>
              <w:rPr>
                <w:sz w:val="20"/>
              </w:rPr>
            </w:pPr>
            <w:hyperlink w:anchor="_bookmark23" w:history="1">
              <w:r w:rsidR="00D5162D" w:rsidRPr="003948BA">
                <w:rPr>
                  <w:sz w:val="20"/>
                </w:rPr>
                <w:t>17</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24" w:history="1">
              <w:r w:rsidR="00D5162D" w:rsidRPr="003948BA">
                <w:rPr>
                  <w:sz w:val="20"/>
                </w:rPr>
                <w:t>3.3</w:t>
              </w:r>
            </w:hyperlink>
          </w:p>
        </w:tc>
        <w:tc>
          <w:tcPr>
            <w:tcW w:w="7474" w:type="dxa"/>
          </w:tcPr>
          <w:p w:rsidR="00D5162D" w:rsidRPr="003948BA" w:rsidRDefault="00173787" w:rsidP="00294079">
            <w:pPr>
              <w:pStyle w:val="TableParagraph"/>
              <w:spacing w:line="210" w:lineRule="exact"/>
              <w:ind w:left="353"/>
              <w:rPr>
                <w:sz w:val="20"/>
              </w:rPr>
            </w:pPr>
            <w:hyperlink w:anchor="_bookmark24" w:history="1">
              <w:r w:rsidR="00D5162D" w:rsidRPr="003948BA">
                <w:rPr>
                  <w:sz w:val="20"/>
                </w:rPr>
                <w:t>Board of Directors of the Management Company</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24" w:history="1">
              <w:r w:rsidR="00D5162D" w:rsidRPr="003948BA">
                <w:rPr>
                  <w:sz w:val="20"/>
                </w:rPr>
                <w:t>18</w:t>
              </w:r>
            </w:hyperlink>
          </w:p>
        </w:tc>
      </w:tr>
      <w:tr w:rsidR="00D5162D" w:rsidRPr="003948BA" w:rsidTr="00294079">
        <w:trPr>
          <w:trHeight w:val="228"/>
        </w:trPr>
        <w:tc>
          <w:tcPr>
            <w:tcW w:w="905" w:type="dxa"/>
          </w:tcPr>
          <w:p w:rsidR="00D5162D" w:rsidRPr="003948BA" w:rsidRDefault="00173787" w:rsidP="00294079">
            <w:pPr>
              <w:pStyle w:val="TableParagraph"/>
              <w:spacing w:line="208" w:lineRule="exact"/>
              <w:ind w:left="200"/>
              <w:rPr>
                <w:sz w:val="20"/>
              </w:rPr>
            </w:pPr>
            <w:hyperlink w:anchor="_bookmark25" w:history="1">
              <w:r w:rsidR="00D5162D" w:rsidRPr="003948BA">
                <w:rPr>
                  <w:sz w:val="20"/>
                </w:rPr>
                <w:t>3.4</w:t>
              </w:r>
            </w:hyperlink>
          </w:p>
        </w:tc>
        <w:tc>
          <w:tcPr>
            <w:tcW w:w="7474" w:type="dxa"/>
          </w:tcPr>
          <w:p w:rsidR="00D5162D" w:rsidRPr="003948BA" w:rsidRDefault="00173787" w:rsidP="00294079">
            <w:pPr>
              <w:pStyle w:val="TableParagraph"/>
              <w:spacing w:line="208" w:lineRule="exact"/>
              <w:ind w:left="353"/>
              <w:rPr>
                <w:sz w:val="20"/>
              </w:rPr>
            </w:pPr>
            <w:hyperlink w:anchor="_bookmark25" w:history="1">
              <w:r w:rsidR="00D5162D" w:rsidRPr="003948BA">
                <w:rPr>
                  <w:sz w:val="20"/>
                </w:rPr>
                <w:t>Profile of the Management</w:t>
              </w:r>
            </w:hyperlink>
          </w:p>
        </w:tc>
        <w:tc>
          <w:tcPr>
            <w:tcW w:w="1196" w:type="dxa"/>
          </w:tcPr>
          <w:p w:rsidR="00D5162D" w:rsidRPr="003948BA" w:rsidRDefault="00173787" w:rsidP="00294079">
            <w:pPr>
              <w:pStyle w:val="TableParagraph"/>
              <w:spacing w:line="208" w:lineRule="exact"/>
              <w:ind w:left="0" w:right="198"/>
              <w:jc w:val="right"/>
              <w:rPr>
                <w:sz w:val="20"/>
              </w:rPr>
            </w:pPr>
            <w:hyperlink w:anchor="_bookmark25" w:history="1">
              <w:r w:rsidR="00D5162D" w:rsidRPr="003948BA">
                <w:rPr>
                  <w:sz w:val="20"/>
                </w:rPr>
                <w:t>20</w:t>
              </w:r>
            </w:hyperlink>
          </w:p>
        </w:tc>
      </w:tr>
      <w:tr w:rsidR="00D5162D" w:rsidRPr="003948BA" w:rsidTr="00294079">
        <w:trPr>
          <w:trHeight w:val="229"/>
        </w:trPr>
        <w:tc>
          <w:tcPr>
            <w:tcW w:w="905" w:type="dxa"/>
          </w:tcPr>
          <w:p w:rsidR="00D5162D" w:rsidRPr="003948BA" w:rsidRDefault="00173787" w:rsidP="00294079">
            <w:pPr>
              <w:pStyle w:val="TableParagraph"/>
              <w:spacing w:line="209" w:lineRule="exact"/>
              <w:ind w:left="200"/>
              <w:rPr>
                <w:sz w:val="20"/>
              </w:rPr>
            </w:pPr>
            <w:hyperlink w:anchor="_bookmark26" w:history="1">
              <w:r w:rsidR="00D5162D" w:rsidRPr="003948BA">
                <w:rPr>
                  <w:sz w:val="20"/>
                </w:rPr>
                <w:t>3.5</w:t>
              </w:r>
            </w:hyperlink>
          </w:p>
        </w:tc>
        <w:tc>
          <w:tcPr>
            <w:tcW w:w="7474" w:type="dxa"/>
          </w:tcPr>
          <w:p w:rsidR="00D5162D" w:rsidRPr="003948BA" w:rsidRDefault="00173787" w:rsidP="00294079">
            <w:pPr>
              <w:pStyle w:val="TableParagraph"/>
              <w:spacing w:line="209" w:lineRule="exact"/>
              <w:ind w:left="353"/>
              <w:rPr>
                <w:sz w:val="20"/>
              </w:rPr>
            </w:pPr>
            <w:hyperlink w:anchor="_bookmark26" w:history="1">
              <w:r w:rsidR="00D5162D" w:rsidRPr="003948BA">
                <w:rPr>
                  <w:sz w:val="20"/>
                </w:rPr>
                <w:t>Performance of Listed Associated Companies</w:t>
              </w:r>
            </w:hyperlink>
          </w:p>
        </w:tc>
        <w:tc>
          <w:tcPr>
            <w:tcW w:w="1196" w:type="dxa"/>
          </w:tcPr>
          <w:p w:rsidR="00D5162D" w:rsidRPr="003948BA" w:rsidRDefault="00173787" w:rsidP="00294079">
            <w:pPr>
              <w:pStyle w:val="TableParagraph"/>
              <w:spacing w:line="209" w:lineRule="exact"/>
              <w:ind w:left="0" w:right="198"/>
              <w:jc w:val="right"/>
              <w:rPr>
                <w:sz w:val="20"/>
              </w:rPr>
            </w:pPr>
            <w:hyperlink w:anchor="_bookmark26" w:history="1">
              <w:r w:rsidR="00D5162D" w:rsidRPr="003948BA">
                <w:rPr>
                  <w:sz w:val="20"/>
                </w:rPr>
                <w:t>23</w:t>
              </w:r>
            </w:hyperlink>
          </w:p>
        </w:tc>
      </w:tr>
      <w:tr w:rsidR="00D5162D" w:rsidRPr="003948BA" w:rsidTr="00294079">
        <w:trPr>
          <w:trHeight w:val="231"/>
        </w:trPr>
        <w:tc>
          <w:tcPr>
            <w:tcW w:w="905" w:type="dxa"/>
          </w:tcPr>
          <w:p w:rsidR="00D5162D" w:rsidRPr="003948BA" w:rsidRDefault="00173787" w:rsidP="00294079">
            <w:pPr>
              <w:pStyle w:val="TableParagraph"/>
              <w:spacing w:line="212" w:lineRule="exact"/>
              <w:ind w:left="200"/>
              <w:rPr>
                <w:sz w:val="20"/>
              </w:rPr>
            </w:pPr>
            <w:hyperlink w:anchor="_bookmark27" w:history="1">
              <w:r w:rsidR="00D5162D" w:rsidRPr="003948BA">
                <w:rPr>
                  <w:sz w:val="20"/>
                </w:rPr>
                <w:t>3.6</w:t>
              </w:r>
            </w:hyperlink>
          </w:p>
        </w:tc>
        <w:tc>
          <w:tcPr>
            <w:tcW w:w="7474" w:type="dxa"/>
          </w:tcPr>
          <w:p w:rsidR="00D5162D" w:rsidRPr="003948BA" w:rsidRDefault="00173787" w:rsidP="00294079">
            <w:pPr>
              <w:pStyle w:val="TableParagraph"/>
              <w:spacing w:line="212" w:lineRule="exact"/>
              <w:ind w:left="353"/>
              <w:rPr>
                <w:sz w:val="20"/>
              </w:rPr>
            </w:pPr>
            <w:hyperlink w:anchor="_bookmark27" w:history="1">
              <w:r w:rsidR="00D5162D" w:rsidRPr="003948BA">
                <w:rPr>
                  <w:sz w:val="20"/>
                </w:rPr>
                <w:t>Existing Schemes under Management and their performance</w:t>
              </w:r>
            </w:hyperlink>
          </w:p>
        </w:tc>
        <w:tc>
          <w:tcPr>
            <w:tcW w:w="1196" w:type="dxa"/>
          </w:tcPr>
          <w:p w:rsidR="00D5162D" w:rsidRPr="003948BA" w:rsidRDefault="00173787" w:rsidP="00294079">
            <w:pPr>
              <w:pStyle w:val="TableParagraph"/>
              <w:spacing w:line="212" w:lineRule="exact"/>
              <w:ind w:left="0" w:right="198"/>
              <w:jc w:val="right"/>
              <w:rPr>
                <w:sz w:val="20"/>
              </w:rPr>
            </w:pPr>
            <w:hyperlink w:anchor="_bookmark27" w:history="1">
              <w:r w:rsidR="00D5162D" w:rsidRPr="003948BA">
                <w:rPr>
                  <w:sz w:val="20"/>
                </w:rPr>
                <w:t>25</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28" w:history="1">
              <w:r w:rsidR="00D5162D" w:rsidRPr="003948BA">
                <w:rPr>
                  <w:sz w:val="20"/>
                </w:rPr>
                <w:t>3.7</w:t>
              </w:r>
            </w:hyperlink>
          </w:p>
        </w:tc>
        <w:tc>
          <w:tcPr>
            <w:tcW w:w="7474" w:type="dxa"/>
          </w:tcPr>
          <w:p w:rsidR="00D5162D" w:rsidRPr="003948BA" w:rsidRDefault="00173787" w:rsidP="00294079">
            <w:pPr>
              <w:pStyle w:val="TableParagraph"/>
              <w:spacing w:line="210" w:lineRule="exact"/>
              <w:ind w:left="353"/>
              <w:rPr>
                <w:sz w:val="20"/>
              </w:rPr>
            </w:pPr>
            <w:hyperlink w:anchor="_bookmark28" w:history="1">
              <w:r w:rsidR="00D5162D" w:rsidRPr="003948BA">
                <w:rPr>
                  <w:sz w:val="20"/>
                </w:rPr>
                <w:t>Role and Responsibilities of the Management Company</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28" w:history="1">
              <w:r w:rsidR="00D5162D" w:rsidRPr="003948BA">
                <w:rPr>
                  <w:sz w:val="20"/>
                </w:rPr>
                <w:t>35</w:t>
              </w:r>
            </w:hyperlink>
          </w:p>
        </w:tc>
      </w:tr>
      <w:tr w:rsidR="00D5162D" w:rsidRPr="003948BA" w:rsidTr="00294079">
        <w:trPr>
          <w:trHeight w:val="229"/>
        </w:trPr>
        <w:tc>
          <w:tcPr>
            <w:tcW w:w="905" w:type="dxa"/>
          </w:tcPr>
          <w:p w:rsidR="00D5162D" w:rsidRPr="003948BA" w:rsidRDefault="00173787" w:rsidP="00294079">
            <w:pPr>
              <w:pStyle w:val="TableParagraph"/>
              <w:spacing w:line="209" w:lineRule="exact"/>
              <w:ind w:left="200"/>
              <w:rPr>
                <w:sz w:val="20"/>
              </w:rPr>
            </w:pPr>
            <w:hyperlink w:anchor="_bookmark29" w:history="1">
              <w:r w:rsidR="00D5162D" w:rsidRPr="003948BA">
                <w:rPr>
                  <w:sz w:val="20"/>
                </w:rPr>
                <w:t>3.8</w:t>
              </w:r>
            </w:hyperlink>
          </w:p>
        </w:tc>
        <w:tc>
          <w:tcPr>
            <w:tcW w:w="7474" w:type="dxa"/>
          </w:tcPr>
          <w:p w:rsidR="00D5162D" w:rsidRPr="003948BA" w:rsidRDefault="00173787" w:rsidP="00294079">
            <w:pPr>
              <w:pStyle w:val="TableParagraph"/>
              <w:spacing w:line="209" w:lineRule="exact"/>
              <w:ind w:left="353"/>
              <w:rPr>
                <w:sz w:val="20"/>
              </w:rPr>
            </w:pPr>
            <w:hyperlink w:anchor="_bookmark29" w:history="1">
              <w:r w:rsidR="00D5162D" w:rsidRPr="003948BA">
                <w:rPr>
                  <w:sz w:val="20"/>
                </w:rPr>
                <w:t>Maintenance of Unit Holders Register</w:t>
              </w:r>
            </w:hyperlink>
          </w:p>
        </w:tc>
        <w:tc>
          <w:tcPr>
            <w:tcW w:w="1196" w:type="dxa"/>
          </w:tcPr>
          <w:p w:rsidR="00D5162D" w:rsidRPr="003948BA" w:rsidRDefault="00173787" w:rsidP="00294079">
            <w:pPr>
              <w:pStyle w:val="TableParagraph"/>
              <w:spacing w:line="209" w:lineRule="exact"/>
              <w:ind w:left="0" w:right="198"/>
              <w:jc w:val="right"/>
              <w:rPr>
                <w:sz w:val="20"/>
              </w:rPr>
            </w:pPr>
            <w:hyperlink w:anchor="_bookmark29" w:history="1">
              <w:r w:rsidR="00D5162D" w:rsidRPr="003948BA">
                <w:rPr>
                  <w:sz w:val="20"/>
                </w:rPr>
                <w:t>37</w:t>
              </w:r>
            </w:hyperlink>
          </w:p>
        </w:tc>
      </w:tr>
      <w:tr w:rsidR="00D5162D" w:rsidRPr="003948BA" w:rsidTr="00294079">
        <w:trPr>
          <w:trHeight w:val="227"/>
        </w:trPr>
        <w:tc>
          <w:tcPr>
            <w:tcW w:w="905" w:type="dxa"/>
          </w:tcPr>
          <w:p w:rsidR="00D5162D" w:rsidRPr="003948BA" w:rsidRDefault="00173787" w:rsidP="00294079">
            <w:pPr>
              <w:pStyle w:val="TableParagraph"/>
              <w:spacing w:line="208" w:lineRule="exact"/>
              <w:ind w:left="200"/>
              <w:rPr>
                <w:sz w:val="20"/>
              </w:rPr>
            </w:pPr>
            <w:hyperlink w:anchor="_bookmark30" w:history="1">
              <w:r w:rsidR="00D5162D" w:rsidRPr="003948BA">
                <w:rPr>
                  <w:sz w:val="20"/>
                </w:rPr>
                <w:t>3.9</w:t>
              </w:r>
            </w:hyperlink>
          </w:p>
        </w:tc>
        <w:tc>
          <w:tcPr>
            <w:tcW w:w="7474" w:type="dxa"/>
          </w:tcPr>
          <w:p w:rsidR="00D5162D" w:rsidRPr="003948BA" w:rsidRDefault="00173787" w:rsidP="00294079">
            <w:pPr>
              <w:pStyle w:val="TableParagraph"/>
              <w:spacing w:line="208" w:lineRule="exact"/>
              <w:ind w:left="353"/>
              <w:rPr>
                <w:sz w:val="20"/>
              </w:rPr>
            </w:pPr>
            <w:hyperlink w:anchor="_bookmark30" w:history="1">
              <w:r w:rsidR="00D5162D" w:rsidRPr="003948BA">
                <w:rPr>
                  <w:sz w:val="20"/>
                </w:rPr>
                <w:t>Role of the Trustee</w:t>
              </w:r>
            </w:hyperlink>
          </w:p>
        </w:tc>
        <w:tc>
          <w:tcPr>
            <w:tcW w:w="1196" w:type="dxa"/>
          </w:tcPr>
          <w:p w:rsidR="00D5162D" w:rsidRPr="003948BA" w:rsidRDefault="00173787" w:rsidP="00294079">
            <w:pPr>
              <w:pStyle w:val="TableParagraph"/>
              <w:spacing w:line="208" w:lineRule="exact"/>
              <w:ind w:left="0" w:right="198"/>
              <w:jc w:val="right"/>
              <w:rPr>
                <w:sz w:val="20"/>
              </w:rPr>
            </w:pPr>
            <w:hyperlink w:anchor="_bookmark30" w:history="1">
              <w:r w:rsidR="00D5162D" w:rsidRPr="003948BA">
                <w:rPr>
                  <w:sz w:val="20"/>
                </w:rPr>
                <w:t>37</w:t>
              </w:r>
            </w:hyperlink>
          </w:p>
        </w:tc>
      </w:tr>
      <w:tr w:rsidR="00D5162D" w:rsidRPr="003948BA" w:rsidTr="00294079">
        <w:trPr>
          <w:trHeight w:val="229"/>
        </w:trPr>
        <w:tc>
          <w:tcPr>
            <w:tcW w:w="905" w:type="dxa"/>
          </w:tcPr>
          <w:p w:rsidR="00D5162D" w:rsidRPr="003948BA" w:rsidRDefault="00173787" w:rsidP="00294079">
            <w:pPr>
              <w:pStyle w:val="TableParagraph"/>
              <w:spacing w:line="209" w:lineRule="exact"/>
              <w:ind w:left="200"/>
              <w:rPr>
                <w:sz w:val="20"/>
              </w:rPr>
            </w:pPr>
            <w:hyperlink w:anchor="_bookmark31" w:history="1">
              <w:r w:rsidR="00D5162D" w:rsidRPr="003948BA">
                <w:rPr>
                  <w:sz w:val="20"/>
                </w:rPr>
                <w:t>3.10</w:t>
              </w:r>
            </w:hyperlink>
          </w:p>
        </w:tc>
        <w:tc>
          <w:tcPr>
            <w:tcW w:w="7474" w:type="dxa"/>
          </w:tcPr>
          <w:p w:rsidR="00D5162D" w:rsidRPr="003948BA" w:rsidRDefault="00173787" w:rsidP="00294079">
            <w:pPr>
              <w:pStyle w:val="TableParagraph"/>
              <w:spacing w:line="209" w:lineRule="exact"/>
              <w:ind w:left="353"/>
              <w:rPr>
                <w:sz w:val="20"/>
              </w:rPr>
            </w:pPr>
            <w:hyperlink w:anchor="_bookmark31" w:history="1">
              <w:r w:rsidR="00D5162D" w:rsidRPr="003948BA">
                <w:rPr>
                  <w:sz w:val="20"/>
                </w:rPr>
                <w:t>Shariah Advisor</w:t>
              </w:r>
            </w:hyperlink>
          </w:p>
        </w:tc>
        <w:tc>
          <w:tcPr>
            <w:tcW w:w="1196" w:type="dxa"/>
          </w:tcPr>
          <w:p w:rsidR="00D5162D" w:rsidRPr="003948BA" w:rsidRDefault="009D529C" w:rsidP="00294079">
            <w:pPr>
              <w:pStyle w:val="TableParagraph"/>
              <w:spacing w:line="209" w:lineRule="exact"/>
              <w:ind w:left="-8"/>
              <w:rPr>
                <w:sz w:val="20"/>
              </w:rPr>
            </w:pPr>
            <w:r w:rsidRPr="003948BA">
              <w:t xml:space="preserve">             </w:t>
            </w:r>
            <w:hyperlink w:anchor="_bookmark31" w:history="1">
              <w:r w:rsidR="00D5162D" w:rsidRPr="003948BA">
                <w:rPr>
                  <w:sz w:val="20"/>
                </w:rPr>
                <w:t>40</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31" w:history="1">
              <w:r w:rsidR="00D5162D" w:rsidRPr="003948BA">
                <w:rPr>
                  <w:sz w:val="20"/>
                </w:rPr>
                <w:t>3.11</w:t>
              </w:r>
            </w:hyperlink>
          </w:p>
        </w:tc>
        <w:tc>
          <w:tcPr>
            <w:tcW w:w="7474" w:type="dxa"/>
          </w:tcPr>
          <w:p w:rsidR="00D5162D" w:rsidRPr="003948BA" w:rsidRDefault="00173787" w:rsidP="00294079">
            <w:pPr>
              <w:pStyle w:val="TableParagraph"/>
              <w:spacing w:line="210" w:lineRule="exact"/>
              <w:ind w:left="353"/>
              <w:rPr>
                <w:sz w:val="20"/>
              </w:rPr>
            </w:pPr>
            <w:hyperlink w:anchor="_bookmark31" w:history="1">
              <w:r w:rsidR="00D5162D" w:rsidRPr="003948BA">
                <w:rPr>
                  <w:sz w:val="20"/>
                </w:rPr>
                <w:t>Duties and Responsibilities of Shariah Advisor</w:t>
              </w:r>
            </w:hyperlink>
          </w:p>
        </w:tc>
        <w:tc>
          <w:tcPr>
            <w:tcW w:w="1196" w:type="dxa"/>
          </w:tcPr>
          <w:p w:rsidR="00D5162D" w:rsidRPr="003948BA" w:rsidRDefault="009D529C" w:rsidP="00294079">
            <w:pPr>
              <w:pStyle w:val="TableParagraph"/>
              <w:spacing w:line="210" w:lineRule="exact"/>
              <w:ind w:left="-4"/>
              <w:rPr>
                <w:sz w:val="20"/>
              </w:rPr>
            </w:pPr>
            <w:r w:rsidRPr="003948BA">
              <w:t xml:space="preserve">             </w:t>
            </w:r>
            <w:hyperlink w:anchor="_bookmark31" w:history="1">
              <w:r w:rsidR="00D5162D" w:rsidRPr="003948BA">
                <w:rPr>
                  <w:sz w:val="20"/>
                </w:rPr>
                <w:t>40</w:t>
              </w:r>
            </w:hyperlink>
          </w:p>
        </w:tc>
      </w:tr>
      <w:tr w:rsidR="00D5162D" w:rsidRPr="003948BA" w:rsidTr="00294079">
        <w:trPr>
          <w:trHeight w:val="230"/>
        </w:trPr>
        <w:tc>
          <w:tcPr>
            <w:tcW w:w="905" w:type="dxa"/>
          </w:tcPr>
          <w:p w:rsidR="00D5162D" w:rsidRPr="003948BA" w:rsidRDefault="00173787" w:rsidP="00294079">
            <w:pPr>
              <w:pStyle w:val="TableParagraph"/>
              <w:spacing w:line="211" w:lineRule="exact"/>
              <w:ind w:left="200"/>
              <w:rPr>
                <w:sz w:val="20"/>
              </w:rPr>
            </w:pPr>
            <w:hyperlink w:anchor="_bookmark32" w:history="1">
              <w:r w:rsidR="00D5162D" w:rsidRPr="003948BA">
                <w:rPr>
                  <w:sz w:val="20"/>
                </w:rPr>
                <w:t>3.12</w:t>
              </w:r>
            </w:hyperlink>
          </w:p>
        </w:tc>
        <w:tc>
          <w:tcPr>
            <w:tcW w:w="7474" w:type="dxa"/>
          </w:tcPr>
          <w:p w:rsidR="00D5162D" w:rsidRPr="003948BA" w:rsidRDefault="00173787" w:rsidP="00294079">
            <w:pPr>
              <w:pStyle w:val="TableParagraph"/>
              <w:spacing w:line="211" w:lineRule="exact"/>
              <w:ind w:left="353"/>
              <w:rPr>
                <w:sz w:val="20"/>
              </w:rPr>
            </w:pPr>
            <w:hyperlink w:anchor="_bookmark32" w:history="1">
              <w:r w:rsidR="00D5162D" w:rsidRPr="003948BA">
                <w:rPr>
                  <w:sz w:val="20"/>
                </w:rPr>
                <w:t>Transfer Agent</w:t>
              </w:r>
            </w:hyperlink>
          </w:p>
        </w:tc>
        <w:tc>
          <w:tcPr>
            <w:tcW w:w="1196" w:type="dxa"/>
          </w:tcPr>
          <w:p w:rsidR="00D5162D" w:rsidRPr="003948BA" w:rsidRDefault="00173787" w:rsidP="00294079">
            <w:pPr>
              <w:pStyle w:val="TableParagraph"/>
              <w:spacing w:line="211" w:lineRule="exact"/>
              <w:ind w:left="0" w:right="198"/>
              <w:jc w:val="right"/>
              <w:rPr>
                <w:sz w:val="20"/>
              </w:rPr>
            </w:pPr>
            <w:hyperlink w:anchor="_bookmark32" w:history="1">
              <w:r w:rsidR="00D5162D" w:rsidRPr="003948BA">
                <w:rPr>
                  <w:sz w:val="20"/>
                </w:rPr>
                <w:t>40</w:t>
              </w:r>
            </w:hyperlink>
          </w:p>
        </w:tc>
      </w:tr>
      <w:tr w:rsidR="00D5162D" w:rsidRPr="003948BA" w:rsidTr="00294079">
        <w:trPr>
          <w:trHeight w:val="230"/>
        </w:trPr>
        <w:tc>
          <w:tcPr>
            <w:tcW w:w="905" w:type="dxa"/>
          </w:tcPr>
          <w:p w:rsidR="00D5162D" w:rsidRPr="003948BA" w:rsidRDefault="00173787" w:rsidP="00294079">
            <w:pPr>
              <w:pStyle w:val="TableParagraph"/>
              <w:spacing w:line="211" w:lineRule="exact"/>
              <w:ind w:left="200"/>
              <w:rPr>
                <w:sz w:val="20"/>
              </w:rPr>
            </w:pPr>
            <w:hyperlink w:anchor="_bookmark33" w:history="1">
              <w:r w:rsidR="00D5162D" w:rsidRPr="003948BA">
                <w:rPr>
                  <w:sz w:val="20"/>
                </w:rPr>
                <w:t>3.13</w:t>
              </w:r>
            </w:hyperlink>
          </w:p>
        </w:tc>
        <w:tc>
          <w:tcPr>
            <w:tcW w:w="7474" w:type="dxa"/>
          </w:tcPr>
          <w:p w:rsidR="00D5162D" w:rsidRPr="003948BA" w:rsidRDefault="00173787" w:rsidP="00294079">
            <w:pPr>
              <w:pStyle w:val="TableParagraph"/>
              <w:spacing w:line="211" w:lineRule="exact"/>
              <w:ind w:left="353"/>
              <w:rPr>
                <w:sz w:val="20"/>
              </w:rPr>
            </w:pPr>
            <w:hyperlink w:anchor="_bookmark33" w:history="1">
              <w:r w:rsidR="00D5162D" w:rsidRPr="003948BA">
                <w:rPr>
                  <w:sz w:val="20"/>
                </w:rPr>
                <w:t>Custodian</w:t>
              </w:r>
            </w:hyperlink>
          </w:p>
        </w:tc>
        <w:tc>
          <w:tcPr>
            <w:tcW w:w="1196" w:type="dxa"/>
          </w:tcPr>
          <w:p w:rsidR="00D5162D" w:rsidRPr="003948BA" w:rsidRDefault="00173787" w:rsidP="00294079">
            <w:pPr>
              <w:pStyle w:val="TableParagraph"/>
              <w:spacing w:line="211" w:lineRule="exact"/>
              <w:ind w:left="0" w:right="198"/>
              <w:jc w:val="right"/>
              <w:rPr>
                <w:sz w:val="20"/>
              </w:rPr>
            </w:pPr>
            <w:hyperlink w:anchor="_bookmark33" w:history="1">
              <w:r w:rsidR="00D5162D" w:rsidRPr="003948BA">
                <w:rPr>
                  <w:sz w:val="20"/>
                </w:rPr>
                <w:t>40</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34" w:history="1">
              <w:r w:rsidR="00D5162D" w:rsidRPr="003948BA">
                <w:rPr>
                  <w:sz w:val="20"/>
                </w:rPr>
                <w:t>3.14</w:t>
              </w:r>
            </w:hyperlink>
          </w:p>
        </w:tc>
        <w:tc>
          <w:tcPr>
            <w:tcW w:w="7474" w:type="dxa"/>
          </w:tcPr>
          <w:p w:rsidR="00D5162D" w:rsidRPr="003948BA" w:rsidRDefault="00173787" w:rsidP="00294079">
            <w:pPr>
              <w:pStyle w:val="TableParagraph"/>
              <w:spacing w:line="210" w:lineRule="exact"/>
              <w:ind w:left="353"/>
              <w:rPr>
                <w:sz w:val="20"/>
              </w:rPr>
            </w:pPr>
            <w:hyperlink w:anchor="_bookmark34" w:history="1">
              <w:r w:rsidR="00D5162D" w:rsidRPr="003948BA">
                <w:rPr>
                  <w:sz w:val="20"/>
                </w:rPr>
                <w:t>Distributors/Facilitators</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34" w:history="1">
              <w:r w:rsidR="00D5162D" w:rsidRPr="003948BA">
                <w:rPr>
                  <w:sz w:val="20"/>
                </w:rPr>
                <w:t>40</w:t>
              </w:r>
            </w:hyperlink>
          </w:p>
        </w:tc>
      </w:tr>
      <w:tr w:rsidR="00D5162D" w:rsidRPr="003948BA" w:rsidTr="00294079">
        <w:trPr>
          <w:trHeight w:val="228"/>
        </w:trPr>
        <w:tc>
          <w:tcPr>
            <w:tcW w:w="905" w:type="dxa"/>
          </w:tcPr>
          <w:p w:rsidR="00D5162D" w:rsidRPr="003948BA" w:rsidRDefault="00173787" w:rsidP="00294079">
            <w:pPr>
              <w:pStyle w:val="TableParagraph"/>
              <w:spacing w:line="208" w:lineRule="exact"/>
              <w:ind w:left="200"/>
              <w:rPr>
                <w:sz w:val="20"/>
              </w:rPr>
            </w:pPr>
            <w:hyperlink w:anchor="_bookmark35" w:history="1">
              <w:r w:rsidR="00D5162D" w:rsidRPr="003948BA">
                <w:rPr>
                  <w:sz w:val="20"/>
                </w:rPr>
                <w:t>3.15</w:t>
              </w:r>
            </w:hyperlink>
          </w:p>
        </w:tc>
        <w:tc>
          <w:tcPr>
            <w:tcW w:w="7474" w:type="dxa"/>
          </w:tcPr>
          <w:p w:rsidR="00D5162D" w:rsidRPr="003948BA" w:rsidRDefault="00173787" w:rsidP="00294079">
            <w:pPr>
              <w:pStyle w:val="TableParagraph"/>
              <w:spacing w:line="208" w:lineRule="exact"/>
              <w:ind w:left="353"/>
              <w:rPr>
                <w:sz w:val="20"/>
              </w:rPr>
            </w:pPr>
            <w:hyperlink w:anchor="_bookmark35" w:history="1">
              <w:r w:rsidR="00D5162D" w:rsidRPr="003948BA">
                <w:rPr>
                  <w:sz w:val="20"/>
                </w:rPr>
                <w:t>Auditors</w:t>
              </w:r>
            </w:hyperlink>
          </w:p>
        </w:tc>
        <w:tc>
          <w:tcPr>
            <w:tcW w:w="1196" w:type="dxa"/>
          </w:tcPr>
          <w:p w:rsidR="00D5162D" w:rsidRPr="003948BA" w:rsidRDefault="00173787" w:rsidP="00294079">
            <w:pPr>
              <w:pStyle w:val="TableParagraph"/>
              <w:spacing w:line="208" w:lineRule="exact"/>
              <w:ind w:left="0" w:right="198"/>
              <w:jc w:val="right"/>
              <w:rPr>
                <w:sz w:val="20"/>
              </w:rPr>
            </w:pPr>
            <w:hyperlink w:anchor="_bookmark35" w:history="1">
              <w:r w:rsidR="00D5162D" w:rsidRPr="003948BA">
                <w:rPr>
                  <w:sz w:val="20"/>
                </w:rPr>
                <w:t>41</w:t>
              </w:r>
            </w:hyperlink>
          </w:p>
        </w:tc>
      </w:tr>
      <w:tr w:rsidR="00D5162D" w:rsidRPr="003948BA" w:rsidTr="00294079">
        <w:trPr>
          <w:trHeight w:val="227"/>
        </w:trPr>
        <w:tc>
          <w:tcPr>
            <w:tcW w:w="905" w:type="dxa"/>
          </w:tcPr>
          <w:p w:rsidR="00D5162D" w:rsidRPr="003948BA" w:rsidRDefault="00173787" w:rsidP="00294079">
            <w:pPr>
              <w:pStyle w:val="TableParagraph"/>
              <w:spacing w:line="208" w:lineRule="exact"/>
              <w:ind w:left="200"/>
              <w:rPr>
                <w:sz w:val="20"/>
              </w:rPr>
            </w:pPr>
            <w:hyperlink w:anchor="_bookmark36" w:history="1">
              <w:r w:rsidR="00D5162D" w:rsidRPr="003948BA">
                <w:rPr>
                  <w:sz w:val="20"/>
                </w:rPr>
                <w:t>3.16</w:t>
              </w:r>
            </w:hyperlink>
          </w:p>
        </w:tc>
        <w:tc>
          <w:tcPr>
            <w:tcW w:w="7474" w:type="dxa"/>
          </w:tcPr>
          <w:p w:rsidR="00D5162D" w:rsidRPr="003948BA" w:rsidRDefault="00173787" w:rsidP="00294079">
            <w:pPr>
              <w:pStyle w:val="TableParagraph"/>
              <w:spacing w:line="208" w:lineRule="exact"/>
              <w:ind w:left="353"/>
              <w:rPr>
                <w:sz w:val="20"/>
              </w:rPr>
            </w:pPr>
            <w:hyperlink w:anchor="_bookmark36" w:history="1">
              <w:r w:rsidR="00D5162D" w:rsidRPr="003948BA">
                <w:rPr>
                  <w:sz w:val="20"/>
                </w:rPr>
                <w:t>Legal Advisors</w:t>
              </w:r>
            </w:hyperlink>
          </w:p>
        </w:tc>
        <w:tc>
          <w:tcPr>
            <w:tcW w:w="1196" w:type="dxa"/>
          </w:tcPr>
          <w:p w:rsidR="00D5162D" w:rsidRPr="003948BA" w:rsidRDefault="00173787" w:rsidP="00294079">
            <w:pPr>
              <w:pStyle w:val="TableParagraph"/>
              <w:spacing w:line="208" w:lineRule="exact"/>
              <w:ind w:left="0" w:right="198"/>
              <w:jc w:val="right"/>
              <w:rPr>
                <w:sz w:val="20"/>
              </w:rPr>
            </w:pPr>
            <w:hyperlink w:anchor="_bookmark36" w:history="1">
              <w:r w:rsidR="00D5162D" w:rsidRPr="003948BA">
                <w:rPr>
                  <w:sz w:val="20"/>
                </w:rPr>
                <w:t>41</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37" w:history="1">
              <w:r w:rsidR="00D5162D" w:rsidRPr="003948BA">
                <w:rPr>
                  <w:sz w:val="20"/>
                </w:rPr>
                <w:t>3.17</w:t>
              </w:r>
            </w:hyperlink>
          </w:p>
        </w:tc>
        <w:tc>
          <w:tcPr>
            <w:tcW w:w="7474" w:type="dxa"/>
          </w:tcPr>
          <w:p w:rsidR="00D5162D" w:rsidRPr="003948BA" w:rsidRDefault="00173787" w:rsidP="00294079">
            <w:pPr>
              <w:pStyle w:val="TableParagraph"/>
              <w:spacing w:line="210" w:lineRule="exact"/>
              <w:ind w:left="353"/>
              <w:rPr>
                <w:sz w:val="20"/>
              </w:rPr>
            </w:pPr>
            <w:hyperlink w:anchor="_bookmark37" w:history="1">
              <w:r w:rsidR="00D5162D" w:rsidRPr="003948BA">
                <w:rPr>
                  <w:sz w:val="20"/>
                </w:rPr>
                <w:t>Bankers</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37" w:history="1">
              <w:r w:rsidR="00D5162D" w:rsidRPr="003948BA">
                <w:rPr>
                  <w:sz w:val="20"/>
                </w:rPr>
                <w:t>42</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38" w:history="1">
              <w:r w:rsidR="00D5162D" w:rsidRPr="003948BA">
                <w:rPr>
                  <w:sz w:val="20"/>
                </w:rPr>
                <w:t>3.18</w:t>
              </w:r>
            </w:hyperlink>
          </w:p>
        </w:tc>
        <w:tc>
          <w:tcPr>
            <w:tcW w:w="7474" w:type="dxa"/>
          </w:tcPr>
          <w:p w:rsidR="00D5162D" w:rsidRPr="003948BA" w:rsidRDefault="00173787" w:rsidP="00294079">
            <w:pPr>
              <w:pStyle w:val="TableParagraph"/>
              <w:spacing w:line="210" w:lineRule="exact"/>
              <w:ind w:left="353"/>
              <w:rPr>
                <w:sz w:val="20"/>
              </w:rPr>
            </w:pPr>
            <w:hyperlink w:anchor="_bookmark38" w:history="1">
              <w:r w:rsidR="00D5162D" w:rsidRPr="003948BA">
                <w:rPr>
                  <w:sz w:val="20"/>
                </w:rPr>
                <w:t>Rating of the Scheme</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38" w:history="1">
              <w:r w:rsidR="00D5162D" w:rsidRPr="003948BA">
                <w:rPr>
                  <w:sz w:val="20"/>
                </w:rPr>
                <w:t>43</w:t>
              </w:r>
            </w:hyperlink>
          </w:p>
        </w:tc>
      </w:tr>
      <w:tr w:rsidR="00D5162D" w:rsidRPr="003948BA" w:rsidTr="00294079">
        <w:trPr>
          <w:trHeight w:val="292"/>
        </w:trPr>
        <w:tc>
          <w:tcPr>
            <w:tcW w:w="905" w:type="dxa"/>
          </w:tcPr>
          <w:p w:rsidR="00D5162D" w:rsidRPr="003948BA" w:rsidRDefault="00173787" w:rsidP="00294079">
            <w:pPr>
              <w:pStyle w:val="TableParagraph"/>
              <w:spacing w:line="226" w:lineRule="exact"/>
              <w:ind w:left="200"/>
              <w:rPr>
                <w:sz w:val="20"/>
              </w:rPr>
            </w:pPr>
            <w:hyperlink w:anchor="_bookmark39" w:history="1">
              <w:r w:rsidR="00D5162D" w:rsidRPr="003948BA">
                <w:rPr>
                  <w:sz w:val="20"/>
                </w:rPr>
                <w:t>3.19</w:t>
              </w:r>
            </w:hyperlink>
          </w:p>
        </w:tc>
        <w:tc>
          <w:tcPr>
            <w:tcW w:w="7474" w:type="dxa"/>
          </w:tcPr>
          <w:p w:rsidR="00D5162D" w:rsidRPr="003948BA" w:rsidRDefault="00173787" w:rsidP="00294079">
            <w:pPr>
              <w:pStyle w:val="TableParagraph"/>
              <w:spacing w:line="226" w:lineRule="exact"/>
              <w:ind w:left="353"/>
              <w:rPr>
                <w:sz w:val="20"/>
              </w:rPr>
            </w:pPr>
            <w:hyperlink w:anchor="_bookmark39" w:history="1">
              <w:r w:rsidR="00D5162D" w:rsidRPr="003948BA">
                <w:rPr>
                  <w:sz w:val="20"/>
                </w:rPr>
                <w:t>Minimum Fund Size</w:t>
              </w:r>
            </w:hyperlink>
          </w:p>
        </w:tc>
        <w:tc>
          <w:tcPr>
            <w:tcW w:w="1196" w:type="dxa"/>
          </w:tcPr>
          <w:p w:rsidR="00D5162D" w:rsidRPr="003948BA" w:rsidRDefault="00173787" w:rsidP="00294079">
            <w:pPr>
              <w:pStyle w:val="TableParagraph"/>
              <w:spacing w:line="226" w:lineRule="exact"/>
              <w:ind w:left="0" w:right="198"/>
              <w:jc w:val="right"/>
              <w:rPr>
                <w:sz w:val="20"/>
              </w:rPr>
            </w:pPr>
            <w:hyperlink w:anchor="_bookmark39" w:history="1">
              <w:r w:rsidR="00D5162D" w:rsidRPr="003948BA">
                <w:rPr>
                  <w:sz w:val="20"/>
                </w:rPr>
                <w:t>43</w:t>
              </w:r>
            </w:hyperlink>
          </w:p>
        </w:tc>
      </w:tr>
      <w:tr w:rsidR="00D5162D" w:rsidRPr="003948BA" w:rsidTr="00294079">
        <w:trPr>
          <w:trHeight w:val="347"/>
        </w:trPr>
        <w:tc>
          <w:tcPr>
            <w:tcW w:w="905" w:type="dxa"/>
          </w:tcPr>
          <w:p w:rsidR="00D5162D" w:rsidRPr="003948BA" w:rsidRDefault="00173787" w:rsidP="00294079">
            <w:pPr>
              <w:pStyle w:val="TableParagraph"/>
              <w:spacing w:before="58"/>
              <w:ind w:left="200"/>
              <w:rPr>
                <w:b/>
                <w:sz w:val="20"/>
              </w:rPr>
            </w:pPr>
            <w:hyperlink w:anchor="_bookmark40" w:history="1">
              <w:r w:rsidR="00D5162D" w:rsidRPr="003948BA">
                <w:rPr>
                  <w:b/>
                  <w:sz w:val="20"/>
                </w:rPr>
                <w:t>4.</w:t>
              </w:r>
            </w:hyperlink>
          </w:p>
        </w:tc>
        <w:tc>
          <w:tcPr>
            <w:tcW w:w="7474" w:type="dxa"/>
          </w:tcPr>
          <w:p w:rsidR="00D5162D" w:rsidRPr="003948BA" w:rsidRDefault="00173787" w:rsidP="00294079">
            <w:pPr>
              <w:pStyle w:val="TableParagraph"/>
              <w:spacing w:before="58"/>
              <w:ind w:left="372"/>
              <w:rPr>
                <w:b/>
                <w:sz w:val="20"/>
              </w:rPr>
            </w:pPr>
            <w:hyperlink w:anchor="_bookmark40" w:history="1">
              <w:r w:rsidR="00D5162D" w:rsidRPr="003948BA">
                <w:rPr>
                  <w:b/>
                  <w:sz w:val="20"/>
                </w:rPr>
                <w:t>CHARACTERISTICS OF UNITS</w:t>
              </w:r>
            </w:hyperlink>
          </w:p>
        </w:tc>
        <w:tc>
          <w:tcPr>
            <w:tcW w:w="1196" w:type="dxa"/>
          </w:tcPr>
          <w:p w:rsidR="00D5162D" w:rsidRPr="003948BA" w:rsidRDefault="00173787" w:rsidP="00294079">
            <w:pPr>
              <w:pStyle w:val="TableParagraph"/>
              <w:spacing w:before="58"/>
              <w:ind w:left="0" w:right="198"/>
              <w:jc w:val="right"/>
              <w:rPr>
                <w:b/>
                <w:sz w:val="20"/>
              </w:rPr>
            </w:pPr>
            <w:hyperlink w:anchor="_bookmark40" w:history="1">
              <w:r w:rsidR="00D5162D" w:rsidRPr="003948BA">
                <w:rPr>
                  <w:b/>
                  <w:sz w:val="20"/>
                </w:rPr>
                <w:t>43</w:t>
              </w:r>
            </w:hyperlink>
          </w:p>
        </w:tc>
      </w:tr>
      <w:tr w:rsidR="00D5162D" w:rsidRPr="003948BA" w:rsidTr="00294079">
        <w:trPr>
          <w:trHeight w:val="286"/>
        </w:trPr>
        <w:tc>
          <w:tcPr>
            <w:tcW w:w="905" w:type="dxa"/>
          </w:tcPr>
          <w:p w:rsidR="00D5162D" w:rsidRPr="003948BA" w:rsidRDefault="00173787" w:rsidP="00294079">
            <w:pPr>
              <w:pStyle w:val="TableParagraph"/>
              <w:spacing w:before="51" w:line="216" w:lineRule="exact"/>
              <w:ind w:left="200"/>
              <w:rPr>
                <w:sz w:val="20"/>
              </w:rPr>
            </w:pPr>
            <w:hyperlink w:anchor="_bookmark41" w:history="1">
              <w:r w:rsidR="00D5162D" w:rsidRPr="003948BA">
                <w:rPr>
                  <w:sz w:val="20"/>
                </w:rPr>
                <w:t>4.1</w:t>
              </w:r>
            </w:hyperlink>
          </w:p>
        </w:tc>
        <w:tc>
          <w:tcPr>
            <w:tcW w:w="7474" w:type="dxa"/>
          </w:tcPr>
          <w:p w:rsidR="00D5162D" w:rsidRPr="003948BA" w:rsidRDefault="00173787" w:rsidP="00294079">
            <w:pPr>
              <w:pStyle w:val="TableParagraph"/>
              <w:spacing w:before="51" w:line="216" w:lineRule="exact"/>
              <w:ind w:left="353"/>
              <w:rPr>
                <w:sz w:val="20"/>
              </w:rPr>
            </w:pPr>
            <w:hyperlink w:anchor="_bookmark41" w:history="1">
              <w:r w:rsidR="00D5162D" w:rsidRPr="003948BA">
                <w:rPr>
                  <w:sz w:val="20"/>
                </w:rPr>
                <w:t>Units</w:t>
              </w:r>
            </w:hyperlink>
          </w:p>
        </w:tc>
        <w:tc>
          <w:tcPr>
            <w:tcW w:w="1196" w:type="dxa"/>
          </w:tcPr>
          <w:p w:rsidR="00D5162D" w:rsidRPr="003948BA" w:rsidRDefault="00173787" w:rsidP="00294079">
            <w:pPr>
              <w:pStyle w:val="TableParagraph"/>
              <w:spacing w:before="51" w:line="216" w:lineRule="exact"/>
              <w:ind w:left="0" w:right="198"/>
              <w:jc w:val="right"/>
              <w:rPr>
                <w:sz w:val="20"/>
              </w:rPr>
            </w:pPr>
            <w:hyperlink w:anchor="_bookmark41" w:history="1">
              <w:r w:rsidR="00D5162D" w:rsidRPr="003948BA">
                <w:rPr>
                  <w:sz w:val="20"/>
                </w:rPr>
                <w:t>43</w:t>
              </w:r>
            </w:hyperlink>
          </w:p>
        </w:tc>
      </w:tr>
      <w:tr w:rsidR="00D5162D" w:rsidRPr="003948BA" w:rsidTr="00294079">
        <w:trPr>
          <w:trHeight w:val="231"/>
        </w:trPr>
        <w:tc>
          <w:tcPr>
            <w:tcW w:w="905" w:type="dxa"/>
          </w:tcPr>
          <w:p w:rsidR="00D5162D" w:rsidRPr="003948BA" w:rsidRDefault="00173787" w:rsidP="00294079">
            <w:pPr>
              <w:pStyle w:val="TableParagraph"/>
              <w:spacing w:line="212" w:lineRule="exact"/>
              <w:ind w:left="200"/>
              <w:rPr>
                <w:sz w:val="20"/>
              </w:rPr>
            </w:pPr>
            <w:hyperlink w:anchor="_bookmark42" w:history="1">
              <w:r w:rsidR="00D5162D" w:rsidRPr="003948BA">
                <w:rPr>
                  <w:sz w:val="20"/>
                </w:rPr>
                <w:t>4.2</w:t>
              </w:r>
            </w:hyperlink>
          </w:p>
        </w:tc>
        <w:tc>
          <w:tcPr>
            <w:tcW w:w="7474" w:type="dxa"/>
          </w:tcPr>
          <w:p w:rsidR="00D5162D" w:rsidRPr="003948BA" w:rsidRDefault="00173787" w:rsidP="00294079">
            <w:pPr>
              <w:pStyle w:val="TableParagraph"/>
              <w:spacing w:line="212" w:lineRule="exact"/>
              <w:ind w:left="353"/>
              <w:rPr>
                <w:sz w:val="20"/>
              </w:rPr>
            </w:pPr>
            <w:hyperlink w:anchor="_bookmark42" w:history="1">
              <w:r w:rsidR="00D5162D" w:rsidRPr="003948BA">
                <w:rPr>
                  <w:sz w:val="20"/>
                </w:rPr>
                <w:t>Classes of Units</w:t>
              </w:r>
            </w:hyperlink>
          </w:p>
        </w:tc>
        <w:tc>
          <w:tcPr>
            <w:tcW w:w="1196" w:type="dxa"/>
          </w:tcPr>
          <w:p w:rsidR="00D5162D" w:rsidRPr="003948BA" w:rsidRDefault="00173787" w:rsidP="00294079">
            <w:pPr>
              <w:pStyle w:val="TableParagraph"/>
              <w:spacing w:line="212" w:lineRule="exact"/>
              <w:ind w:left="0" w:right="198"/>
              <w:jc w:val="right"/>
              <w:rPr>
                <w:sz w:val="20"/>
              </w:rPr>
            </w:pPr>
            <w:hyperlink w:anchor="_bookmark42" w:history="1">
              <w:r w:rsidR="00D5162D" w:rsidRPr="003948BA">
                <w:rPr>
                  <w:sz w:val="20"/>
                </w:rPr>
                <w:t>44</w:t>
              </w:r>
            </w:hyperlink>
          </w:p>
        </w:tc>
      </w:tr>
      <w:tr w:rsidR="00D5162D" w:rsidRPr="003948BA" w:rsidTr="00294079">
        <w:trPr>
          <w:trHeight w:val="230"/>
        </w:trPr>
        <w:tc>
          <w:tcPr>
            <w:tcW w:w="905" w:type="dxa"/>
          </w:tcPr>
          <w:p w:rsidR="00D5162D" w:rsidRPr="003948BA" w:rsidRDefault="00173787" w:rsidP="00294079">
            <w:pPr>
              <w:pStyle w:val="TableParagraph"/>
              <w:spacing w:line="210" w:lineRule="exact"/>
              <w:ind w:left="200"/>
              <w:rPr>
                <w:sz w:val="20"/>
              </w:rPr>
            </w:pPr>
            <w:hyperlink w:anchor="_bookmark43" w:history="1">
              <w:r w:rsidR="00D5162D" w:rsidRPr="003948BA">
                <w:rPr>
                  <w:sz w:val="20"/>
                </w:rPr>
                <w:t>4.3</w:t>
              </w:r>
            </w:hyperlink>
          </w:p>
        </w:tc>
        <w:tc>
          <w:tcPr>
            <w:tcW w:w="7474" w:type="dxa"/>
          </w:tcPr>
          <w:p w:rsidR="00D5162D" w:rsidRPr="003948BA" w:rsidRDefault="00173787" w:rsidP="00294079">
            <w:pPr>
              <w:pStyle w:val="TableParagraph"/>
              <w:spacing w:line="210" w:lineRule="exact"/>
              <w:ind w:left="353"/>
              <w:rPr>
                <w:sz w:val="20"/>
              </w:rPr>
            </w:pPr>
            <w:hyperlink w:anchor="_bookmark43" w:history="1">
              <w:r w:rsidR="00D5162D" w:rsidRPr="003948BA">
                <w:rPr>
                  <w:sz w:val="20"/>
                </w:rPr>
                <w:t>Purchase and Redemption of Units</w:t>
              </w:r>
            </w:hyperlink>
          </w:p>
        </w:tc>
        <w:tc>
          <w:tcPr>
            <w:tcW w:w="1196" w:type="dxa"/>
          </w:tcPr>
          <w:p w:rsidR="00D5162D" w:rsidRPr="003948BA" w:rsidRDefault="00173787" w:rsidP="00294079">
            <w:pPr>
              <w:pStyle w:val="TableParagraph"/>
              <w:spacing w:line="210" w:lineRule="exact"/>
              <w:ind w:left="0" w:right="198"/>
              <w:jc w:val="right"/>
              <w:rPr>
                <w:sz w:val="20"/>
              </w:rPr>
            </w:pPr>
            <w:hyperlink w:anchor="_bookmark43" w:history="1">
              <w:r w:rsidR="00D5162D" w:rsidRPr="003948BA">
                <w:rPr>
                  <w:sz w:val="20"/>
                </w:rPr>
                <w:t>45</w:t>
              </w:r>
            </w:hyperlink>
          </w:p>
        </w:tc>
      </w:tr>
      <w:tr w:rsidR="00D5162D" w:rsidRPr="003948BA" w:rsidTr="00294079">
        <w:trPr>
          <w:trHeight w:val="230"/>
        </w:trPr>
        <w:tc>
          <w:tcPr>
            <w:tcW w:w="905" w:type="dxa"/>
          </w:tcPr>
          <w:p w:rsidR="00D5162D" w:rsidRPr="003948BA" w:rsidRDefault="00173787" w:rsidP="00294079">
            <w:pPr>
              <w:pStyle w:val="TableParagraph"/>
              <w:spacing w:line="211" w:lineRule="exact"/>
              <w:ind w:left="200"/>
              <w:rPr>
                <w:sz w:val="20"/>
              </w:rPr>
            </w:pPr>
            <w:hyperlink w:anchor="_bookmark44" w:history="1">
              <w:r w:rsidR="00D5162D" w:rsidRPr="003948BA">
                <w:rPr>
                  <w:sz w:val="20"/>
                </w:rPr>
                <w:t>4.4</w:t>
              </w:r>
            </w:hyperlink>
          </w:p>
        </w:tc>
        <w:tc>
          <w:tcPr>
            <w:tcW w:w="7474" w:type="dxa"/>
          </w:tcPr>
          <w:p w:rsidR="00D5162D" w:rsidRPr="003948BA" w:rsidRDefault="00173787" w:rsidP="00294079">
            <w:pPr>
              <w:pStyle w:val="TableParagraph"/>
              <w:spacing w:line="211" w:lineRule="exact"/>
              <w:ind w:left="353"/>
              <w:rPr>
                <w:sz w:val="20"/>
              </w:rPr>
            </w:pPr>
            <w:hyperlink w:anchor="_bookmark44" w:history="1">
              <w:r w:rsidR="00D5162D" w:rsidRPr="003948BA">
                <w:rPr>
                  <w:sz w:val="20"/>
                </w:rPr>
                <w:t>Procedure for Purchase of Units</w:t>
              </w:r>
            </w:hyperlink>
          </w:p>
        </w:tc>
        <w:tc>
          <w:tcPr>
            <w:tcW w:w="1196" w:type="dxa"/>
          </w:tcPr>
          <w:p w:rsidR="00D5162D" w:rsidRPr="003948BA" w:rsidRDefault="00173787" w:rsidP="00294079">
            <w:pPr>
              <w:pStyle w:val="TableParagraph"/>
              <w:spacing w:line="211" w:lineRule="exact"/>
              <w:ind w:left="0" w:right="198"/>
              <w:jc w:val="right"/>
              <w:rPr>
                <w:sz w:val="20"/>
              </w:rPr>
            </w:pPr>
            <w:hyperlink w:anchor="_bookmark44" w:history="1">
              <w:r w:rsidR="00D5162D" w:rsidRPr="003948BA">
                <w:rPr>
                  <w:sz w:val="20"/>
                </w:rPr>
                <w:t>45</w:t>
              </w:r>
            </w:hyperlink>
          </w:p>
        </w:tc>
      </w:tr>
      <w:tr w:rsidR="00D5162D" w:rsidRPr="003948BA" w:rsidTr="00294079">
        <w:trPr>
          <w:trHeight w:val="230"/>
        </w:trPr>
        <w:tc>
          <w:tcPr>
            <w:tcW w:w="905" w:type="dxa"/>
          </w:tcPr>
          <w:p w:rsidR="00D5162D" w:rsidRPr="003948BA" w:rsidRDefault="00173787" w:rsidP="00294079">
            <w:pPr>
              <w:pStyle w:val="TableParagraph"/>
              <w:spacing w:line="211" w:lineRule="exact"/>
              <w:ind w:left="200"/>
              <w:rPr>
                <w:sz w:val="20"/>
              </w:rPr>
            </w:pPr>
            <w:hyperlink w:anchor="_bookmark45" w:history="1">
              <w:r w:rsidR="00D5162D" w:rsidRPr="003948BA">
                <w:rPr>
                  <w:sz w:val="20"/>
                </w:rPr>
                <w:t>4.5</w:t>
              </w:r>
            </w:hyperlink>
          </w:p>
        </w:tc>
        <w:tc>
          <w:tcPr>
            <w:tcW w:w="7474" w:type="dxa"/>
          </w:tcPr>
          <w:p w:rsidR="00D5162D" w:rsidRPr="003948BA" w:rsidRDefault="00173787" w:rsidP="00294079">
            <w:pPr>
              <w:pStyle w:val="TableParagraph"/>
              <w:spacing w:line="211" w:lineRule="exact"/>
              <w:ind w:left="353"/>
              <w:rPr>
                <w:sz w:val="20"/>
              </w:rPr>
            </w:pPr>
            <w:hyperlink w:anchor="_bookmark45" w:history="1">
              <w:r w:rsidR="00D5162D" w:rsidRPr="003948BA">
                <w:rPr>
                  <w:sz w:val="20"/>
                </w:rPr>
                <w:t>Procedure for Redemption of Units</w:t>
              </w:r>
            </w:hyperlink>
          </w:p>
        </w:tc>
        <w:tc>
          <w:tcPr>
            <w:tcW w:w="1196" w:type="dxa"/>
          </w:tcPr>
          <w:p w:rsidR="00D5162D" w:rsidRPr="003948BA" w:rsidRDefault="00173787" w:rsidP="00294079">
            <w:pPr>
              <w:pStyle w:val="TableParagraph"/>
              <w:spacing w:line="211" w:lineRule="exact"/>
              <w:ind w:left="0" w:right="198"/>
              <w:jc w:val="right"/>
              <w:rPr>
                <w:sz w:val="20"/>
              </w:rPr>
            </w:pPr>
            <w:hyperlink w:anchor="_bookmark45" w:history="1">
              <w:r w:rsidR="00D5162D" w:rsidRPr="003948BA">
                <w:rPr>
                  <w:sz w:val="20"/>
                </w:rPr>
                <w:t>50</w:t>
              </w:r>
            </w:hyperlink>
          </w:p>
        </w:tc>
      </w:tr>
      <w:tr w:rsidR="00D5162D" w:rsidRPr="003948BA" w:rsidTr="00294079">
        <w:trPr>
          <w:trHeight w:val="228"/>
        </w:trPr>
        <w:tc>
          <w:tcPr>
            <w:tcW w:w="905" w:type="dxa"/>
          </w:tcPr>
          <w:p w:rsidR="00D5162D" w:rsidRPr="003948BA" w:rsidRDefault="00173787" w:rsidP="00294079">
            <w:pPr>
              <w:pStyle w:val="TableParagraph"/>
              <w:spacing w:line="208" w:lineRule="exact"/>
              <w:ind w:left="200"/>
              <w:rPr>
                <w:sz w:val="20"/>
              </w:rPr>
            </w:pPr>
            <w:hyperlink w:anchor="_bookmark46" w:history="1">
              <w:r w:rsidR="00D5162D" w:rsidRPr="003948BA">
                <w:rPr>
                  <w:sz w:val="20"/>
                </w:rPr>
                <w:t>4.6</w:t>
              </w:r>
            </w:hyperlink>
          </w:p>
        </w:tc>
        <w:tc>
          <w:tcPr>
            <w:tcW w:w="7474" w:type="dxa"/>
          </w:tcPr>
          <w:p w:rsidR="00D5162D" w:rsidRPr="003948BA" w:rsidRDefault="00173787" w:rsidP="00294079">
            <w:pPr>
              <w:pStyle w:val="TableParagraph"/>
              <w:spacing w:line="208" w:lineRule="exact"/>
              <w:ind w:left="353"/>
              <w:rPr>
                <w:sz w:val="20"/>
              </w:rPr>
            </w:pPr>
            <w:hyperlink w:anchor="_bookmark46" w:history="1">
              <w:r w:rsidR="00D5162D" w:rsidRPr="003948BA">
                <w:rPr>
                  <w:sz w:val="20"/>
                </w:rPr>
                <w:t>Determination of Redemption (Repurchase) Price</w:t>
              </w:r>
            </w:hyperlink>
          </w:p>
        </w:tc>
        <w:tc>
          <w:tcPr>
            <w:tcW w:w="1196" w:type="dxa"/>
          </w:tcPr>
          <w:p w:rsidR="00D5162D" w:rsidRPr="003948BA" w:rsidRDefault="00173787" w:rsidP="00294079">
            <w:pPr>
              <w:pStyle w:val="TableParagraph"/>
              <w:spacing w:line="208" w:lineRule="exact"/>
              <w:ind w:left="0" w:right="198"/>
              <w:jc w:val="right"/>
              <w:rPr>
                <w:sz w:val="20"/>
              </w:rPr>
            </w:pPr>
            <w:hyperlink w:anchor="_bookmark46" w:history="1">
              <w:r w:rsidR="00D5162D" w:rsidRPr="003948BA">
                <w:rPr>
                  <w:sz w:val="20"/>
                </w:rPr>
                <w:t>53</w:t>
              </w:r>
            </w:hyperlink>
          </w:p>
        </w:tc>
      </w:tr>
      <w:tr w:rsidR="00D5162D" w:rsidRPr="003948BA" w:rsidTr="00294079">
        <w:trPr>
          <w:trHeight w:val="229"/>
        </w:trPr>
        <w:tc>
          <w:tcPr>
            <w:tcW w:w="905" w:type="dxa"/>
          </w:tcPr>
          <w:p w:rsidR="00D5162D" w:rsidRPr="003948BA" w:rsidRDefault="00173787" w:rsidP="00294079">
            <w:pPr>
              <w:pStyle w:val="TableParagraph"/>
              <w:spacing w:line="209" w:lineRule="exact"/>
              <w:ind w:left="200"/>
              <w:rPr>
                <w:sz w:val="20"/>
              </w:rPr>
            </w:pPr>
            <w:hyperlink w:anchor="_bookmark47" w:history="1">
              <w:r w:rsidR="00D5162D" w:rsidRPr="003948BA">
                <w:rPr>
                  <w:sz w:val="20"/>
                </w:rPr>
                <w:t>4.7</w:t>
              </w:r>
            </w:hyperlink>
          </w:p>
        </w:tc>
        <w:tc>
          <w:tcPr>
            <w:tcW w:w="7474" w:type="dxa"/>
          </w:tcPr>
          <w:p w:rsidR="00D5162D" w:rsidRPr="003948BA" w:rsidRDefault="00173787" w:rsidP="00294079">
            <w:pPr>
              <w:pStyle w:val="TableParagraph"/>
              <w:spacing w:line="209" w:lineRule="exact"/>
              <w:ind w:left="353"/>
              <w:rPr>
                <w:sz w:val="20"/>
              </w:rPr>
            </w:pPr>
            <w:hyperlink w:anchor="_bookmark47" w:history="1">
              <w:r w:rsidR="00D5162D" w:rsidRPr="003948BA">
                <w:rPr>
                  <w:sz w:val="20"/>
                </w:rPr>
                <w:t>Purchase (Public Offer) and Redemption (Repurchase) of Units outside Pakistan</w:t>
              </w:r>
            </w:hyperlink>
          </w:p>
        </w:tc>
        <w:tc>
          <w:tcPr>
            <w:tcW w:w="1196" w:type="dxa"/>
          </w:tcPr>
          <w:p w:rsidR="00D5162D" w:rsidRPr="003948BA" w:rsidRDefault="00173787" w:rsidP="00294079">
            <w:pPr>
              <w:pStyle w:val="TableParagraph"/>
              <w:spacing w:line="209" w:lineRule="exact"/>
              <w:ind w:left="0" w:right="198"/>
              <w:jc w:val="right"/>
              <w:rPr>
                <w:sz w:val="20"/>
              </w:rPr>
            </w:pPr>
            <w:hyperlink w:anchor="_bookmark47" w:history="1">
              <w:r w:rsidR="00D5162D" w:rsidRPr="003948BA">
                <w:rPr>
                  <w:sz w:val="20"/>
                </w:rPr>
                <w:t>53</w:t>
              </w:r>
            </w:hyperlink>
          </w:p>
        </w:tc>
      </w:tr>
      <w:tr w:rsidR="00D5162D" w:rsidRPr="003948BA" w:rsidTr="00294079">
        <w:trPr>
          <w:trHeight w:val="231"/>
        </w:trPr>
        <w:tc>
          <w:tcPr>
            <w:tcW w:w="905" w:type="dxa"/>
          </w:tcPr>
          <w:p w:rsidR="00D5162D" w:rsidRPr="003948BA" w:rsidRDefault="00173787" w:rsidP="00294079">
            <w:pPr>
              <w:pStyle w:val="TableParagraph"/>
              <w:spacing w:line="212" w:lineRule="exact"/>
              <w:ind w:left="200"/>
              <w:rPr>
                <w:sz w:val="20"/>
              </w:rPr>
            </w:pPr>
            <w:hyperlink w:anchor="_bookmark48" w:history="1">
              <w:r w:rsidR="00D5162D" w:rsidRPr="003948BA">
                <w:rPr>
                  <w:sz w:val="20"/>
                </w:rPr>
                <w:t>4.8</w:t>
              </w:r>
            </w:hyperlink>
          </w:p>
        </w:tc>
        <w:tc>
          <w:tcPr>
            <w:tcW w:w="7474" w:type="dxa"/>
          </w:tcPr>
          <w:p w:rsidR="00D5162D" w:rsidRPr="003948BA" w:rsidRDefault="00173787" w:rsidP="00294079">
            <w:pPr>
              <w:pStyle w:val="TableParagraph"/>
              <w:spacing w:line="212" w:lineRule="exact"/>
              <w:ind w:left="353"/>
              <w:rPr>
                <w:sz w:val="20"/>
              </w:rPr>
            </w:pPr>
            <w:hyperlink w:anchor="_bookmark48" w:history="1">
              <w:r w:rsidR="00D5162D" w:rsidRPr="003948BA">
                <w:rPr>
                  <w:sz w:val="20"/>
                </w:rPr>
                <w:t>Procedure for Requesting Change in Unit Holder Particulars</w:t>
              </w:r>
            </w:hyperlink>
          </w:p>
        </w:tc>
        <w:tc>
          <w:tcPr>
            <w:tcW w:w="1196" w:type="dxa"/>
          </w:tcPr>
          <w:p w:rsidR="00D5162D" w:rsidRPr="003948BA" w:rsidRDefault="00173787" w:rsidP="00294079">
            <w:pPr>
              <w:pStyle w:val="TableParagraph"/>
              <w:spacing w:line="212" w:lineRule="exact"/>
              <w:ind w:left="0" w:right="198"/>
              <w:jc w:val="right"/>
              <w:rPr>
                <w:sz w:val="20"/>
              </w:rPr>
            </w:pPr>
            <w:hyperlink w:anchor="_bookmark48" w:history="1">
              <w:r w:rsidR="00D5162D" w:rsidRPr="003948BA">
                <w:rPr>
                  <w:sz w:val="20"/>
                </w:rPr>
                <w:t>54</w:t>
              </w:r>
            </w:hyperlink>
          </w:p>
        </w:tc>
      </w:tr>
      <w:tr w:rsidR="00D5162D" w:rsidRPr="003948BA" w:rsidTr="00294079">
        <w:trPr>
          <w:trHeight w:val="225"/>
        </w:trPr>
        <w:tc>
          <w:tcPr>
            <w:tcW w:w="905" w:type="dxa"/>
          </w:tcPr>
          <w:p w:rsidR="00D5162D" w:rsidRPr="003948BA" w:rsidRDefault="00173787" w:rsidP="00294079">
            <w:pPr>
              <w:pStyle w:val="TableParagraph"/>
              <w:spacing w:line="205" w:lineRule="exact"/>
              <w:ind w:left="200"/>
              <w:rPr>
                <w:sz w:val="20"/>
              </w:rPr>
            </w:pPr>
            <w:hyperlink w:anchor="_bookmark49" w:history="1">
              <w:r w:rsidR="00D5162D" w:rsidRPr="003948BA">
                <w:rPr>
                  <w:sz w:val="20"/>
                </w:rPr>
                <w:t>4.9</w:t>
              </w:r>
            </w:hyperlink>
          </w:p>
        </w:tc>
        <w:tc>
          <w:tcPr>
            <w:tcW w:w="7474" w:type="dxa"/>
          </w:tcPr>
          <w:p w:rsidR="00D5162D" w:rsidRPr="003948BA" w:rsidRDefault="00173787" w:rsidP="00294079">
            <w:pPr>
              <w:pStyle w:val="TableParagraph"/>
              <w:spacing w:line="205" w:lineRule="exact"/>
              <w:ind w:left="353"/>
              <w:rPr>
                <w:sz w:val="20"/>
              </w:rPr>
            </w:pPr>
            <w:hyperlink w:anchor="_bookmark49" w:history="1">
              <w:r w:rsidR="00D5162D" w:rsidRPr="003948BA">
                <w:rPr>
                  <w:sz w:val="20"/>
                </w:rPr>
                <w:t>Procedure for Pledge / Lien / Charge of Units</w:t>
              </w:r>
            </w:hyperlink>
          </w:p>
        </w:tc>
        <w:tc>
          <w:tcPr>
            <w:tcW w:w="1196" w:type="dxa"/>
          </w:tcPr>
          <w:p w:rsidR="00D5162D" w:rsidRPr="003948BA" w:rsidRDefault="00173787" w:rsidP="00294079">
            <w:pPr>
              <w:pStyle w:val="TableParagraph"/>
              <w:spacing w:line="205" w:lineRule="exact"/>
              <w:ind w:left="0" w:right="198"/>
              <w:jc w:val="right"/>
              <w:rPr>
                <w:sz w:val="20"/>
              </w:rPr>
            </w:pPr>
            <w:hyperlink w:anchor="_bookmark49" w:history="1">
              <w:r w:rsidR="00D5162D" w:rsidRPr="003948BA">
                <w:rPr>
                  <w:sz w:val="20"/>
                </w:rPr>
                <w:t>56</w:t>
              </w:r>
            </w:hyperlink>
          </w:p>
        </w:tc>
      </w:tr>
    </w:tbl>
    <w:sdt>
      <w:sdtPr>
        <w:rPr>
          <w:rFonts w:ascii="Arial" w:hAnsi="Arial" w:cs="Arial"/>
        </w:rPr>
        <w:id w:val="696817436"/>
        <w:docPartObj>
          <w:docPartGallery w:val="Table of Contents"/>
          <w:docPartUnique/>
        </w:docPartObj>
      </w:sdtPr>
      <w:sdtContent>
        <w:p w:rsidR="00D5162D" w:rsidRPr="003948BA" w:rsidRDefault="00173787" w:rsidP="00D5162D">
          <w:pPr>
            <w:pStyle w:val="TOC2"/>
            <w:tabs>
              <w:tab w:val="left" w:pos="1621"/>
              <w:tab w:val="right" w:pos="9727"/>
            </w:tabs>
            <w:spacing w:before="91"/>
            <w:ind w:left="560" w:firstLine="0"/>
            <w:rPr>
              <w:rFonts w:ascii="Arial" w:hAnsi="Arial" w:cs="Arial"/>
            </w:rPr>
          </w:pPr>
          <w:hyperlink w:anchor="_bookmark50" w:history="1">
            <w:r w:rsidR="00D5162D" w:rsidRPr="003948BA">
              <w:rPr>
                <w:rFonts w:ascii="Arial" w:hAnsi="Arial" w:cs="Arial"/>
              </w:rPr>
              <w:t>4.10</w:t>
            </w:r>
            <w:r w:rsidR="00D5162D" w:rsidRPr="003948BA">
              <w:rPr>
                <w:rFonts w:ascii="Arial" w:hAnsi="Arial" w:cs="Arial"/>
              </w:rPr>
              <w:tab/>
              <w:t>Temporary Change in Method of Dealing, Suspension of Dealing and</w:t>
            </w:r>
            <w:r w:rsidR="00D5162D" w:rsidRPr="003948BA">
              <w:rPr>
                <w:rFonts w:ascii="Arial" w:hAnsi="Arial" w:cs="Arial"/>
                <w:spacing w:val="-19"/>
              </w:rPr>
              <w:t xml:space="preserve"> </w:t>
            </w:r>
            <w:r w:rsidR="00D5162D" w:rsidRPr="003948BA">
              <w:rPr>
                <w:rFonts w:ascii="Arial" w:hAnsi="Arial" w:cs="Arial"/>
              </w:rPr>
              <w:t>Queue</w:t>
            </w:r>
            <w:r w:rsidR="00D5162D" w:rsidRPr="003948BA">
              <w:rPr>
                <w:rFonts w:ascii="Arial" w:hAnsi="Arial" w:cs="Arial"/>
                <w:spacing w:val="-1"/>
              </w:rPr>
              <w:t xml:space="preserve"> </w:t>
            </w:r>
            <w:r w:rsidR="00D5162D" w:rsidRPr="003948BA">
              <w:rPr>
                <w:rFonts w:ascii="Arial" w:hAnsi="Arial" w:cs="Arial"/>
              </w:rPr>
              <w:t>System</w:t>
            </w:r>
            <w:r w:rsidR="00D5162D" w:rsidRPr="003948BA">
              <w:rPr>
                <w:rFonts w:ascii="Arial" w:hAnsi="Arial" w:cs="Arial"/>
              </w:rPr>
              <w:tab/>
              <w:t>57</w:t>
            </w:r>
          </w:hyperlink>
        </w:p>
        <w:p w:rsidR="00D5162D" w:rsidRPr="003948BA" w:rsidRDefault="00173787" w:rsidP="00A002A6">
          <w:pPr>
            <w:pStyle w:val="TOC1"/>
            <w:numPr>
              <w:ilvl w:val="0"/>
              <w:numId w:val="40"/>
            </w:numPr>
            <w:tabs>
              <w:tab w:val="left" w:pos="1640"/>
              <w:tab w:val="left" w:pos="1641"/>
              <w:tab w:val="right" w:pos="9727"/>
            </w:tabs>
            <w:spacing w:before="128"/>
            <w:rPr>
              <w:rFonts w:ascii="Arial" w:hAnsi="Arial" w:cs="Arial"/>
            </w:rPr>
          </w:pPr>
          <w:hyperlink w:anchor="_bookmark51" w:history="1">
            <w:r w:rsidR="00D5162D" w:rsidRPr="003948BA">
              <w:rPr>
                <w:rFonts w:ascii="Arial" w:hAnsi="Arial" w:cs="Arial"/>
              </w:rPr>
              <w:t>DISTRIBUTION POLICY</w:t>
            </w:r>
            <w:r w:rsidR="00D5162D" w:rsidRPr="003948BA">
              <w:rPr>
                <w:rFonts w:ascii="Arial" w:hAnsi="Arial" w:cs="Arial"/>
              </w:rPr>
              <w:tab/>
              <w:t>58</w:t>
            </w:r>
          </w:hyperlink>
        </w:p>
        <w:p w:rsidR="00D5162D" w:rsidRPr="003948BA" w:rsidRDefault="00173787" w:rsidP="00A002A6">
          <w:pPr>
            <w:pStyle w:val="TOC2"/>
            <w:numPr>
              <w:ilvl w:val="1"/>
              <w:numId w:val="40"/>
            </w:numPr>
            <w:tabs>
              <w:tab w:val="left" w:pos="1621"/>
              <w:tab w:val="left" w:pos="1622"/>
              <w:tab w:val="right" w:pos="9727"/>
            </w:tabs>
            <w:spacing w:before="111"/>
            <w:rPr>
              <w:rFonts w:ascii="Arial" w:hAnsi="Arial" w:cs="Arial"/>
            </w:rPr>
          </w:pPr>
          <w:hyperlink w:anchor="_bookmark52" w:history="1">
            <w:r w:rsidR="00D5162D" w:rsidRPr="003948BA">
              <w:rPr>
                <w:rFonts w:ascii="Arial" w:hAnsi="Arial" w:cs="Arial"/>
              </w:rPr>
              <w:t>Declaration</w:t>
            </w:r>
            <w:r w:rsidR="00D5162D" w:rsidRPr="003948BA">
              <w:rPr>
                <w:rFonts w:ascii="Arial" w:hAnsi="Arial" w:cs="Arial"/>
                <w:spacing w:val="-4"/>
              </w:rPr>
              <w:t xml:space="preserve"> </w:t>
            </w:r>
            <w:r w:rsidR="00D5162D" w:rsidRPr="003948BA">
              <w:rPr>
                <w:rFonts w:ascii="Arial" w:hAnsi="Arial" w:cs="Arial"/>
              </w:rPr>
              <w:t>of</w:t>
            </w:r>
            <w:r w:rsidR="00D5162D" w:rsidRPr="003948BA">
              <w:rPr>
                <w:rFonts w:ascii="Arial" w:hAnsi="Arial" w:cs="Arial"/>
                <w:spacing w:val="-5"/>
              </w:rPr>
              <w:t xml:space="preserve"> </w:t>
            </w:r>
            <w:r w:rsidR="00D5162D" w:rsidRPr="003948BA">
              <w:rPr>
                <w:rFonts w:ascii="Arial" w:hAnsi="Arial" w:cs="Arial"/>
              </w:rPr>
              <w:t>Dividend</w:t>
            </w:r>
            <w:r w:rsidR="00D5162D" w:rsidRPr="003948BA">
              <w:rPr>
                <w:rFonts w:ascii="Arial" w:hAnsi="Arial" w:cs="Arial"/>
              </w:rPr>
              <w:tab/>
              <w:t>58</w:t>
            </w:r>
          </w:hyperlink>
        </w:p>
        <w:p w:rsidR="00D5162D" w:rsidRPr="003948BA" w:rsidRDefault="00173787" w:rsidP="00A002A6">
          <w:pPr>
            <w:pStyle w:val="TOC2"/>
            <w:numPr>
              <w:ilvl w:val="1"/>
              <w:numId w:val="40"/>
            </w:numPr>
            <w:tabs>
              <w:tab w:val="left" w:pos="1621"/>
              <w:tab w:val="left" w:pos="1622"/>
              <w:tab w:val="right" w:pos="9727"/>
            </w:tabs>
            <w:rPr>
              <w:rFonts w:ascii="Arial" w:hAnsi="Arial" w:cs="Arial"/>
            </w:rPr>
          </w:pPr>
          <w:hyperlink w:anchor="_bookmark53" w:history="1">
            <w:r w:rsidR="00D5162D" w:rsidRPr="003948BA">
              <w:rPr>
                <w:rFonts w:ascii="Arial" w:hAnsi="Arial" w:cs="Arial"/>
              </w:rPr>
              <w:t>Determination of</w:t>
            </w:r>
            <w:r w:rsidR="00D5162D" w:rsidRPr="003948BA">
              <w:rPr>
                <w:rFonts w:ascii="Arial" w:hAnsi="Arial" w:cs="Arial"/>
                <w:spacing w:val="-5"/>
              </w:rPr>
              <w:t xml:space="preserve"> </w:t>
            </w:r>
            <w:r w:rsidR="00D5162D" w:rsidRPr="003948BA">
              <w:rPr>
                <w:rFonts w:ascii="Arial" w:hAnsi="Arial" w:cs="Arial"/>
              </w:rPr>
              <w:t>Distributable Income</w:t>
            </w:r>
            <w:r w:rsidR="00D5162D" w:rsidRPr="003948BA">
              <w:rPr>
                <w:rFonts w:ascii="Arial" w:hAnsi="Arial" w:cs="Arial"/>
              </w:rPr>
              <w:tab/>
              <w:t>59</w:t>
            </w:r>
          </w:hyperlink>
        </w:p>
        <w:p w:rsidR="00D5162D" w:rsidRPr="003948BA" w:rsidRDefault="00173787" w:rsidP="00A002A6">
          <w:pPr>
            <w:pStyle w:val="TOC2"/>
            <w:numPr>
              <w:ilvl w:val="1"/>
              <w:numId w:val="40"/>
            </w:numPr>
            <w:tabs>
              <w:tab w:val="left" w:pos="1621"/>
              <w:tab w:val="left" w:pos="1622"/>
              <w:tab w:val="right" w:pos="9727"/>
            </w:tabs>
            <w:spacing w:line="228" w:lineRule="exact"/>
            <w:rPr>
              <w:rFonts w:ascii="Arial" w:hAnsi="Arial" w:cs="Arial"/>
            </w:rPr>
          </w:pPr>
          <w:hyperlink w:anchor="_bookmark54" w:history="1">
            <w:r w:rsidR="00D5162D" w:rsidRPr="003948BA">
              <w:rPr>
                <w:rFonts w:ascii="Arial" w:hAnsi="Arial" w:cs="Arial"/>
              </w:rPr>
              <w:t>Payment</w:t>
            </w:r>
            <w:r w:rsidR="00D5162D" w:rsidRPr="003948BA">
              <w:rPr>
                <w:rFonts w:ascii="Arial" w:hAnsi="Arial" w:cs="Arial"/>
                <w:spacing w:val="-3"/>
              </w:rPr>
              <w:t xml:space="preserve"> </w:t>
            </w:r>
            <w:r w:rsidR="00D5162D" w:rsidRPr="003948BA">
              <w:rPr>
                <w:rFonts w:ascii="Arial" w:hAnsi="Arial" w:cs="Arial"/>
              </w:rPr>
              <w:t>of</w:t>
            </w:r>
            <w:r w:rsidR="00D5162D" w:rsidRPr="003948BA">
              <w:rPr>
                <w:rFonts w:ascii="Arial" w:hAnsi="Arial" w:cs="Arial"/>
                <w:spacing w:val="-5"/>
              </w:rPr>
              <w:t xml:space="preserve"> </w:t>
            </w:r>
            <w:r w:rsidR="00D5162D" w:rsidRPr="003948BA">
              <w:rPr>
                <w:rFonts w:ascii="Arial" w:hAnsi="Arial" w:cs="Arial"/>
              </w:rPr>
              <w:t>Dividend</w:t>
            </w:r>
            <w:r w:rsidR="00D5162D" w:rsidRPr="003948BA">
              <w:rPr>
                <w:rFonts w:ascii="Arial" w:hAnsi="Arial" w:cs="Arial"/>
              </w:rPr>
              <w:tab/>
              <w:t>59</w:t>
            </w:r>
          </w:hyperlink>
        </w:p>
        <w:p w:rsidR="00D5162D" w:rsidRPr="003948BA" w:rsidRDefault="00173787" w:rsidP="00A002A6">
          <w:pPr>
            <w:pStyle w:val="TOC2"/>
            <w:numPr>
              <w:ilvl w:val="1"/>
              <w:numId w:val="40"/>
            </w:numPr>
            <w:tabs>
              <w:tab w:val="left" w:pos="1621"/>
              <w:tab w:val="left" w:pos="1622"/>
              <w:tab w:val="right" w:pos="9727"/>
            </w:tabs>
            <w:spacing w:line="228" w:lineRule="exact"/>
            <w:rPr>
              <w:rFonts w:ascii="Arial" w:hAnsi="Arial" w:cs="Arial"/>
            </w:rPr>
          </w:pPr>
          <w:hyperlink w:anchor="_bookmark55" w:history="1">
            <w:r w:rsidR="00D5162D" w:rsidRPr="003948BA">
              <w:rPr>
                <w:rFonts w:ascii="Arial" w:hAnsi="Arial" w:cs="Arial"/>
              </w:rPr>
              <w:t>Dispatch of</w:t>
            </w:r>
            <w:r w:rsidR="00D5162D" w:rsidRPr="003948BA">
              <w:rPr>
                <w:rFonts w:ascii="Arial" w:hAnsi="Arial" w:cs="Arial"/>
                <w:spacing w:val="-8"/>
              </w:rPr>
              <w:t xml:space="preserve"> </w:t>
            </w:r>
            <w:r w:rsidR="00D5162D" w:rsidRPr="003948BA">
              <w:rPr>
                <w:rFonts w:ascii="Arial" w:hAnsi="Arial" w:cs="Arial"/>
              </w:rPr>
              <w:t>Dividend Warrants/Advice</w:t>
            </w:r>
            <w:r w:rsidR="00D5162D" w:rsidRPr="003948BA">
              <w:rPr>
                <w:rFonts w:ascii="Arial" w:hAnsi="Arial" w:cs="Arial"/>
              </w:rPr>
              <w:tab/>
              <w:t>59</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56" w:history="1">
            <w:r w:rsidR="00D5162D" w:rsidRPr="003948BA">
              <w:rPr>
                <w:rFonts w:ascii="Arial" w:hAnsi="Arial" w:cs="Arial"/>
              </w:rPr>
              <w:t>Reinvestment</w:t>
            </w:r>
            <w:r w:rsidR="00D5162D" w:rsidRPr="003948BA">
              <w:rPr>
                <w:rFonts w:ascii="Arial" w:hAnsi="Arial" w:cs="Arial"/>
                <w:spacing w:val="-3"/>
              </w:rPr>
              <w:t xml:space="preserve"> </w:t>
            </w:r>
            <w:r w:rsidR="00D5162D" w:rsidRPr="003948BA">
              <w:rPr>
                <w:rFonts w:ascii="Arial" w:hAnsi="Arial" w:cs="Arial"/>
              </w:rPr>
              <w:t>of</w:t>
            </w:r>
            <w:r w:rsidR="00D5162D" w:rsidRPr="003948BA">
              <w:rPr>
                <w:rFonts w:ascii="Arial" w:hAnsi="Arial" w:cs="Arial"/>
                <w:spacing w:val="-5"/>
              </w:rPr>
              <w:t xml:space="preserve"> </w:t>
            </w:r>
            <w:r w:rsidR="00D5162D" w:rsidRPr="003948BA">
              <w:rPr>
                <w:rFonts w:ascii="Arial" w:hAnsi="Arial" w:cs="Arial"/>
              </w:rPr>
              <w:t>Dividend</w:t>
            </w:r>
            <w:r w:rsidR="00D5162D" w:rsidRPr="003948BA">
              <w:rPr>
                <w:rFonts w:ascii="Arial" w:hAnsi="Arial" w:cs="Arial"/>
              </w:rPr>
              <w:tab/>
              <w:t>59</w:t>
            </w:r>
          </w:hyperlink>
        </w:p>
        <w:p w:rsidR="00D5162D" w:rsidRPr="003948BA" w:rsidRDefault="00173787" w:rsidP="00A002A6">
          <w:pPr>
            <w:pStyle w:val="TOC2"/>
            <w:numPr>
              <w:ilvl w:val="1"/>
              <w:numId w:val="40"/>
            </w:numPr>
            <w:tabs>
              <w:tab w:val="left" w:pos="1621"/>
              <w:tab w:val="left" w:pos="1622"/>
              <w:tab w:val="right" w:pos="9727"/>
            </w:tabs>
            <w:rPr>
              <w:rFonts w:ascii="Arial" w:hAnsi="Arial" w:cs="Arial"/>
            </w:rPr>
          </w:pPr>
          <w:hyperlink w:anchor="_bookmark57" w:history="1">
            <w:r w:rsidR="00D5162D" w:rsidRPr="003948BA">
              <w:rPr>
                <w:rFonts w:ascii="Arial" w:hAnsi="Arial" w:cs="Arial"/>
              </w:rPr>
              <w:t>Unit issuance for reinvestment</w:t>
            </w:r>
            <w:r w:rsidR="00D5162D" w:rsidRPr="003948BA">
              <w:rPr>
                <w:rFonts w:ascii="Arial" w:hAnsi="Arial" w:cs="Arial"/>
                <w:spacing w:val="7"/>
              </w:rPr>
              <w:t xml:space="preserve"> </w:t>
            </w:r>
            <w:r w:rsidR="00D5162D" w:rsidRPr="003948BA">
              <w:rPr>
                <w:rFonts w:ascii="Arial" w:hAnsi="Arial" w:cs="Arial"/>
              </w:rPr>
              <w:t>of</w:t>
            </w:r>
            <w:r w:rsidR="00D5162D" w:rsidRPr="003948BA">
              <w:rPr>
                <w:rFonts w:ascii="Arial" w:hAnsi="Arial" w:cs="Arial"/>
                <w:spacing w:val="-5"/>
              </w:rPr>
              <w:t xml:space="preserve"> </w:t>
            </w:r>
            <w:r w:rsidR="00D5162D" w:rsidRPr="003948BA">
              <w:rPr>
                <w:rFonts w:ascii="Arial" w:hAnsi="Arial" w:cs="Arial"/>
              </w:rPr>
              <w:t>Dividend</w:t>
            </w:r>
            <w:r w:rsidR="00D5162D" w:rsidRPr="003948BA">
              <w:rPr>
                <w:rFonts w:ascii="Arial" w:hAnsi="Arial" w:cs="Arial"/>
              </w:rPr>
              <w:tab/>
              <w:t>60</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58" w:history="1">
            <w:r w:rsidR="00D5162D" w:rsidRPr="003948BA">
              <w:rPr>
                <w:rFonts w:ascii="Arial" w:hAnsi="Arial" w:cs="Arial"/>
              </w:rPr>
              <w:t>Closure</w:t>
            </w:r>
            <w:r w:rsidR="00D5162D" w:rsidRPr="003948BA">
              <w:rPr>
                <w:rFonts w:ascii="Arial" w:hAnsi="Arial" w:cs="Arial"/>
                <w:spacing w:val="-1"/>
              </w:rPr>
              <w:t xml:space="preserve"> </w:t>
            </w:r>
            <w:r w:rsidR="00D5162D" w:rsidRPr="003948BA">
              <w:rPr>
                <w:rFonts w:ascii="Arial" w:hAnsi="Arial" w:cs="Arial"/>
              </w:rPr>
              <w:t>of</w:t>
            </w:r>
            <w:r w:rsidR="00D5162D" w:rsidRPr="003948BA">
              <w:rPr>
                <w:rFonts w:ascii="Arial" w:hAnsi="Arial" w:cs="Arial"/>
                <w:spacing w:val="-4"/>
              </w:rPr>
              <w:t xml:space="preserve"> </w:t>
            </w:r>
            <w:r w:rsidR="00D5162D" w:rsidRPr="003948BA">
              <w:rPr>
                <w:rFonts w:ascii="Arial" w:hAnsi="Arial" w:cs="Arial"/>
              </w:rPr>
              <w:t>Register</w:t>
            </w:r>
            <w:r w:rsidR="00D5162D" w:rsidRPr="003948BA">
              <w:rPr>
                <w:rFonts w:ascii="Arial" w:hAnsi="Arial" w:cs="Arial"/>
              </w:rPr>
              <w:tab/>
              <w:t>60</w:t>
            </w:r>
          </w:hyperlink>
        </w:p>
        <w:p w:rsidR="00D5162D" w:rsidRPr="003948BA" w:rsidRDefault="00173787" w:rsidP="00A002A6">
          <w:pPr>
            <w:pStyle w:val="TOC1"/>
            <w:numPr>
              <w:ilvl w:val="0"/>
              <w:numId w:val="40"/>
            </w:numPr>
            <w:tabs>
              <w:tab w:val="left" w:pos="1640"/>
              <w:tab w:val="left" w:pos="1641"/>
              <w:tab w:val="right" w:pos="9727"/>
            </w:tabs>
            <w:rPr>
              <w:rFonts w:ascii="Arial" w:hAnsi="Arial" w:cs="Arial"/>
            </w:rPr>
          </w:pPr>
          <w:hyperlink w:anchor="_bookmark59" w:history="1">
            <w:r w:rsidR="00D5162D" w:rsidRPr="003948BA">
              <w:rPr>
                <w:rFonts w:ascii="Arial" w:hAnsi="Arial" w:cs="Arial"/>
              </w:rPr>
              <w:t>FEE</w:t>
            </w:r>
            <w:r w:rsidR="00D5162D" w:rsidRPr="003948BA">
              <w:rPr>
                <w:rFonts w:ascii="Arial" w:hAnsi="Arial" w:cs="Arial"/>
                <w:spacing w:val="-4"/>
              </w:rPr>
              <w:t xml:space="preserve"> </w:t>
            </w:r>
            <w:r w:rsidR="00D5162D" w:rsidRPr="003948BA">
              <w:rPr>
                <w:rFonts w:ascii="Arial" w:hAnsi="Arial" w:cs="Arial"/>
              </w:rPr>
              <w:t>AND</w:t>
            </w:r>
            <w:r w:rsidR="00D5162D" w:rsidRPr="003948BA">
              <w:rPr>
                <w:rFonts w:ascii="Arial" w:hAnsi="Arial" w:cs="Arial"/>
                <w:spacing w:val="-1"/>
              </w:rPr>
              <w:t xml:space="preserve"> </w:t>
            </w:r>
            <w:r w:rsidR="00D5162D" w:rsidRPr="003948BA">
              <w:rPr>
                <w:rFonts w:ascii="Arial" w:hAnsi="Arial" w:cs="Arial"/>
              </w:rPr>
              <w:t>CHARGES</w:t>
            </w:r>
            <w:r w:rsidR="00D5162D" w:rsidRPr="003948BA">
              <w:rPr>
                <w:rFonts w:ascii="Arial" w:hAnsi="Arial" w:cs="Arial"/>
              </w:rPr>
              <w:tab/>
              <w:t>60</w:t>
            </w:r>
          </w:hyperlink>
        </w:p>
        <w:p w:rsidR="00D5162D" w:rsidRPr="003948BA" w:rsidRDefault="00173787" w:rsidP="00A002A6">
          <w:pPr>
            <w:pStyle w:val="TOC2"/>
            <w:numPr>
              <w:ilvl w:val="1"/>
              <w:numId w:val="40"/>
            </w:numPr>
            <w:tabs>
              <w:tab w:val="left" w:pos="1621"/>
              <w:tab w:val="left" w:pos="1622"/>
              <w:tab w:val="right" w:pos="9727"/>
            </w:tabs>
            <w:spacing w:before="106"/>
            <w:rPr>
              <w:rFonts w:ascii="Arial" w:hAnsi="Arial" w:cs="Arial"/>
            </w:rPr>
          </w:pPr>
          <w:hyperlink w:anchor="_bookmark60" w:history="1">
            <w:r w:rsidR="00D5162D" w:rsidRPr="003948BA">
              <w:rPr>
                <w:rFonts w:ascii="Arial" w:hAnsi="Arial" w:cs="Arial"/>
              </w:rPr>
              <w:t>Fees and Charges Payable by</w:t>
            </w:r>
            <w:r w:rsidR="00D5162D" w:rsidRPr="003948BA">
              <w:rPr>
                <w:rFonts w:ascii="Arial" w:hAnsi="Arial" w:cs="Arial"/>
                <w:spacing w:val="-5"/>
              </w:rPr>
              <w:t xml:space="preserve"> </w:t>
            </w:r>
            <w:r w:rsidR="00D5162D" w:rsidRPr="003948BA">
              <w:rPr>
                <w:rFonts w:ascii="Arial" w:hAnsi="Arial" w:cs="Arial"/>
              </w:rPr>
              <w:t>an</w:t>
            </w:r>
            <w:r w:rsidR="00D5162D" w:rsidRPr="003948BA">
              <w:rPr>
                <w:rFonts w:ascii="Arial" w:hAnsi="Arial" w:cs="Arial"/>
                <w:spacing w:val="-5"/>
              </w:rPr>
              <w:t xml:space="preserve"> </w:t>
            </w:r>
            <w:r w:rsidR="00D5162D" w:rsidRPr="003948BA">
              <w:rPr>
                <w:rFonts w:ascii="Arial" w:hAnsi="Arial" w:cs="Arial"/>
              </w:rPr>
              <w:t>Investor</w:t>
            </w:r>
            <w:r w:rsidR="00D5162D" w:rsidRPr="003948BA">
              <w:rPr>
                <w:rFonts w:ascii="Arial" w:hAnsi="Arial" w:cs="Arial"/>
              </w:rPr>
              <w:tab/>
              <w:t>60</w:t>
            </w:r>
          </w:hyperlink>
        </w:p>
        <w:p w:rsidR="00D5162D" w:rsidRPr="003948BA" w:rsidRDefault="00173787" w:rsidP="00A002A6">
          <w:pPr>
            <w:pStyle w:val="TOC2"/>
            <w:numPr>
              <w:ilvl w:val="1"/>
              <w:numId w:val="40"/>
            </w:numPr>
            <w:tabs>
              <w:tab w:val="left" w:pos="1621"/>
              <w:tab w:val="left" w:pos="1622"/>
              <w:tab w:val="right" w:pos="9727"/>
            </w:tabs>
            <w:rPr>
              <w:rFonts w:ascii="Arial" w:hAnsi="Arial" w:cs="Arial"/>
            </w:rPr>
          </w:pPr>
          <w:hyperlink w:anchor="_bookmark61" w:history="1">
            <w:r w:rsidR="00D5162D" w:rsidRPr="003948BA">
              <w:rPr>
                <w:rFonts w:ascii="Arial" w:hAnsi="Arial" w:cs="Arial"/>
              </w:rPr>
              <w:t>Fees and Charges Payable by</w:t>
            </w:r>
            <w:r w:rsidR="00D5162D" w:rsidRPr="003948BA">
              <w:rPr>
                <w:rFonts w:ascii="Arial" w:hAnsi="Arial" w:cs="Arial"/>
                <w:spacing w:val="-10"/>
              </w:rPr>
              <w:t xml:space="preserve"> </w:t>
            </w:r>
            <w:r w:rsidR="00D5162D" w:rsidRPr="003948BA">
              <w:rPr>
                <w:rFonts w:ascii="Arial" w:hAnsi="Arial" w:cs="Arial"/>
              </w:rPr>
              <w:t>the Fund</w:t>
            </w:r>
            <w:r w:rsidR="00D5162D" w:rsidRPr="003948BA">
              <w:rPr>
                <w:rFonts w:ascii="Arial" w:hAnsi="Arial" w:cs="Arial"/>
              </w:rPr>
              <w:tab/>
              <w:t>61</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62" w:history="1">
            <w:r w:rsidR="00D5162D" w:rsidRPr="003948BA">
              <w:rPr>
                <w:rFonts w:ascii="Arial" w:hAnsi="Arial" w:cs="Arial"/>
              </w:rPr>
              <w:t>Formation Costs</w:t>
            </w:r>
            <w:r w:rsidR="00D5162D" w:rsidRPr="003948BA">
              <w:rPr>
                <w:rFonts w:ascii="Arial" w:hAnsi="Arial" w:cs="Arial"/>
              </w:rPr>
              <w:tab/>
              <w:t>62</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63" w:history="1">
            <w:r w:rsidR="00D5162D" w:rsidRPr="003948BA">
              <w:rPr>
                <w:rFonts w:ascii="Arial" w:hAnsi="Arial" w:cs="Arial"/>
              </w:rPr>
              <w:t>Other costs and expenses</w:t>
            </w:r>
            <w:r w:rsidR="00D5162D" w:rsidRPr="003948BA">
              <w:rPr>
                <w:rFonts w:ascii="Arial" w:hAnsi="Arial" w:cs="Arial"/>
              </w:rPr>
              <w:tab/>
              <w:t>62</w:t>
            </w:r>
          </w:hyperlink>
        </w:p>
        <w:p w:rsidR="00D5162D" w:rsidRPr="003948BA" w:rsidRDefault="00173787" w:rsidP="00A002A6">
          <w:pPr>
            <w:pStyle w:val="TOC1"/>
            <w:numPr>
              <w:ilvl w:val="0"/>
              <w:numId w:val="40"/>
            </w:numPr>
            <w:tabs>
              <w:tab w:val="left" w:pos="1640"/>
              <w:tab w:val="left" w:pos="1641"/>
              <w:tab w:val="right" w:pos="9727"/>
            </w:tabs>
            <w:rPr>
              <w:rFonts w:ascii="Arial" w:hAnsi="Arial" w:cs="Arial"/>
            </w:rPr>
          </w:pPr>
          <w:hyperlink w:anchor="_bookmark64" w:history="1">
            <w:r w:rsidR="00D5162D" w:rsidRPr="003948BA">
              <w:rPr>
                <w:rFonts w:ascii="Arial" w:hAnsi="Arial" w:cs="Arial"/>
              </w:rPr>
              <w:t>TAXATION</w:t>
            </w:r>
            <w:r w:rsidR="00D5162D" w:rsidRPr="003948BA">
              <w:rPr>
                <w:rFonts w:ascii="Arial" w:hAnsi="Arial" w:cs="Arial"/>
              </w:rPr>
              <w:tab/>
              <w:t>63</w:t>
            </w:r>
          </w:hyperlink>
        </w:p>
        <w:p w:rsidR="00D5162D" w:rsidRPr="003948BA" w:rsidRDefault="00173787" w:rsidP="00A002A6">
          <w:pPr>
            <w:pStyle w:val="TOC2"/>
            <w:numPr>
              <w:ilvl w:val="1"/>
              <w:numId w:val="40"/>
            </w:numPr>
            <w:tabs>
              <w:tab w:val="left" w:pos="1621"/>
              <w:tab w:val="left" w:pos="1622"/>
              <w:tab w:val="right" w:pos="9727"/>
            </w:tabs>
            <w:spacing w:before="113"/>
            <w:rPr>
              <w:rFonts w:ascii="Arial" w:hAnsi="Arial" w:cs="Arial"/>
            </w:rPr>
          </w:pPr>
          <w:hyperlink w:anchor="_bookmark65" w:history="1">
            <w:r w:rsidR="00D5162D" w:rsidRPr="003948BA">
              <w:rPr>
                <w:rFonts w:ascii="Arial" w:hAnsi="Arial" w:cs="Arial"/>
              </w:rPr>
              <w:t>Taxation on the Income of</w:t>
            </w:r>
            <w:r w:rsidR="00D5162D" w:rsidRPr="003948BA">
              <w:rPr>
                <w:rFonts w:ascii="Arial" w:hAnsi="Arial" w:cs="Arial"/>
                <w:spacing w:val="-7"/>
              </w:rPr>
              <w:t xml:space="preserve"> </w:t>
            </w:r>
            <w:r w:rsidR="00D5162D" w:rsidRPr="003948BA">
              <w:rPr>
                <w:rFonts w:ascii="Arial" w:hAnsi="Arial" w:cs="Arial"/>
              </w:rPr>
              <w:t>the</w:t>
            </w:r>
            <w:r w:rsidR="00D5162D" w:rsidRPr="003948BA">
              <w:rPr>
                <w:rFonts w:ascii="Arial" w:hAnsi="Arial" w:cs="Arial"/>
                <w:spacing w:val="1"/>
              </w:rPr>
              <w:t xml:space="preserve"> </w:t>
            </w:r>
            <w:r w:rsidR="00D5162D" w:rsidRPr="003948BA">
              <w:rPr>
                <w:rFonts w:ascii="Arial" w:hAnsi="Arial" w:cs="Arial"/>
              </w:rPr>
              <w:t>Fund</w:t>
            </w:r>
            <w:r w:rsidR="00D5162D" w:rsidRPr="003948BA">
              <w:rPr>
                <w:rFonts w:ascii="Arial" w:hAnsi="Arial" w:cs="Arial"/>
              </w:rPr>
              <w:tab/>
              <w:t>63</w:t>
            </w:r>
          </w:hyperlink>
        </w:p>
        <w:p w:rsidR="00D5162D" w:rsidRPr="003948BA" w:rsidRDefault="00173787" w:rsidP="00A002A6">
          <w:pPr>
            <w:pStyle w:val="TOC2"/>
            <w:numPr>
              <w:ilvl w:val="1"/>
              <w:numId w:val="40"/>
            </w:numPr>
            <w:tabs>
              <w:tab w:val="left" w:pos="1621"/>
              <w:tab w:val="left" w:pos="1622"/>
              <w:tab w:val="right" w:pos="9727"/>
            </w:tabs>
            <w:spacing w:line="228" w:lineRule="exact"/>
            <w:rPr>
              <w:rFonts w:ascii="Arial" w:hAnsi="Arial" w:cs="Arial"/>
            </w:rPr>
          </w:pPr>
          <w:hyperlink w:anchor="_bookmark66" w:history="1">
            <w:r w:rsidR="00D5162D" w:rsidRPr="003948BA">
              <w:rPr>
                <w:rFonts w:ascii="Arial" w:hAnsi="Arial" w:cs="Arial"/>
              </w:rPr>
              <w:t>Withholding</w:t>
            </w:r>
            <w:r w:rsidR="00D5162D" w:rsidRPr="003948BA">
              <w:rPr>
                <w:rFonts w:ascii="Arial" w:hAnsi="Arial" w:cs="Arial"/>
                <w:spacing w:val="-1"/>
              </w:rPr>
              <w:t xml:space="preserve"> </w:t>
            </w:r>
            <w:r w:rsidR="00D5162D" w:rsidRPr="003948BA">
              <w:rPr>
                <w:rFonts w:ascii="Arial" w:hAnsi="Arial" w:cs="Arial"/>
              </w:rPr>
              <w:t>tax</w:t>
            </w:r>
            <w:r w:rsidR="00D5162D" w:rsidRPr="003948BA">
              <w:rPr>
                <w:rFonts w:ascii="Arial" w:hAnsi="Arial" w:cs="Arial"/>
              </w:rPr>
              <w:tab/>
              <w:t>63</w:t>
            </w:r>
          </w:hyperlink>
        </w:p>
        <w:p w:rsidR="00D5162D" w:rsidRPr="003948BA" w:rsidRDefault="00173787" w:rsidP="00A002A6">
          <w:pPr>
            <w:pStyle w:val="TOC2"/>
            <w:numPr>
              <w:ilvl w:val="1"/>
              <w:numId w:val="40"/>
            </w:numPr>
            <w:tabs>
              <w:tab w:val="left" w:pos="1621"/>
              <w:tab w:val="left" w:pos="1622"/>
              <w:tab w:val="right" w:pos="9727"/>
            </w:tabs>
            <w:spacing w:line="228" w:lineRule="exact"/>
            <w:rPr>
              <w:rFonts w:ascii="Arial" w:hAnsi="Arial" w:cs="Arial"/>
            </w:rPr>
          </w:pPr>
          <w:hyperlink w:anchor="_bookmark67" w:history="1">
            <w:r w:rsidR="00D5162D" w:rsidRPr="003948BA">
              <w:rPr>
                <w:rFonts w:ascii="Arial" w:hAnsi="Arial" w:cs="Arial"/>
              </w:rPr>
              <w:t>Zakat</w:t>
            </w:r>
            <w:r w:rsidR="00D5162D" w:rsidRPr="003948BA">
              <w:rPr>
                <w:rFonts w:ascii="Arial" w:hAnsi="Arial" w:cs="Arial"/>
                <w:spacing w:val="-1"/>
              </w:rPr>
              <w:t xml:space="preserve"> </w:t>
            </w:r>
            <w:r w:rsidR="00D5162D" w:rsidRPr="003948BA">
              <w:rPr>
                <w:rFonts w:ascii="Arial" w:hAnsi="Arial" w:cs="Arial"/>
              </w:rPr>
              <w:t>on</w:t>
            </w:r>
            <w:r w:rsidR="00D5162D" w:rsidRPr="003948BA">
              <w:rPr>
                <w:rFonts w:ascii="Arial" w:hAnsi="Arial" w:cs="Arial"/>
                <w:spacing w:val="-5"/>
              </w:rPr>
              <w:t xml:space="preserve"> </w:t>
            </w:r>
            <w:r w:rsidR="00D5162D" w:rsidRPr="003948BA">
              <w:rPr>
                <w:rFonts w:ascii="Arial" w:hAnsi="Arial" w:cs="Arial"/>
              </w:rPr>
              <w:t>Fund</w:t>
            </w:r>
            <w:r w:rsidR="00D5162D" w:rsidRPr="003948BA">
              <w:rPr>
                <w:rFonts w:ascii="Arial" w:hAnsi="Arial" w:cs="Arial"/>
              </w:rPr>
              <w:tab/>
              <w:t>63</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68" w:history="1">
            <w:r w:rsidR="00D5162D" w:rsidRPr="003948BA">
              <w:rPr>
                <w:rFonts w:ascii="Arial" w:hAnsi="Arial" w:cs="Arial"/>
              </w:rPr>
              <w:t>Taxation and Zakat on</w:t>
            </w:r>
            <w:r w:rsidR="00D5162D" w:rsidRPr="003948BA">
              <w:rPr>
                <w:rFonts w:ascii="Arial" w:hAnsi="Arial" w:cs="Arial"/>
                <w:spacing w:val="-3"/>
              </w:rPr>
              <w:t xml:space="preserve"> </w:t>
            </w:r>
            <w:r w:rsidR="00D5162D" w:rsidRPr="003948BA">
              <w:rPr>
                <w:rFonts w:ascii="Arial" w:hAnsi="Arial" w:cs="Arial"/>
              </w:rPr>
              <w:t>Unit</w:t>
            </w:r>
            <w:r w:rsidR="00D5162D" w:rsidRPr="003948BA">
              <w:rPr>
                <w:rFonts w:ascii="Arial" w:hAnsi="Arial" w:cs="Arial"/>
                <w:spacing w:val="-4"/>
              </w:rPr>
              <w:t xml:space="preserve"> </w:t>
            </w:r>
            <w:r w:rsidR="00D5162D" w:rsidRPr="003948BA">
              <w:rPr>
                <w:rFonts w:ascii="Arial" w:hAnsi="Arial" w:cs="Arial"/>
              </w:rPr>
              <w:t>Holders</w:t>
            </w:r>
            <w:r w:rsidR="00D5162D" w:rsidRPr="003948BA">
              <w:rPr>
                <w:rFonts w:ascii="Arial" w:hAnsi="Arial" w:cs="Arial"/>
              </w:rPr>
              <w:tab/>
              <w:t>63</w:t>
            </w:r>
          </w:hyperlink>
        </w:p>
        <w:p w:rsidR="00D5162D" w:rsidRPr="003948BA" w:rsidRDefault="00173787" w:rsidP="00A002A6">
          <w:pPr>
            <w:pStyle w:val="TOC2"/>
            <w:numPr>
              <w:ilvl w:val="1"/>
              <w:numId w:val="40"/>
            </w:numPr>
            <w:tabs>
              <w:tab w:val="left" w:pos="1621"/>
              <w:tab w:val="left" w:pos="1622"/>
              <w:tab w:val="right" w:pos="9727"/>
            </w:tabs>
            <w:rPr>
              <w:rFonts w:ascii="Arial" w:hAnsi="Arial" w:cs="Arial"/>
            </w:rPr>
          </w:pPr>
          <w:hyperlink w:anchor="_bookmark69" w:history="1">
            <w:r w:rsidR="00D5162D" w:rsidRPr="003948BA">
              <w:rPr>
                <w:rFonts w:ascii="Arial" w:hAnsi="Arial" w:cs="Arial"/>
              </w:rPr>
              <w:t>Disclaimer</w:t>
            </w:r>
            <w:r w:rsidR="00D5162D" w:rsidRPr="003948BA">
              <w:rPr>
                <w:rFonts w:ascii="Arial" w:hAnsi="Arial" w:cs="Arial"/>
              </w:rPr>
              <w:tab/>
              <w:t>64</w:t>
            </w:r>
          </w:hyperlink>
        </w:p>
        <w:p w:rsidR="00D5162D" w:rsidRPr="003948BA" w:rsidRDefault="00173787" w:rsidP="00A002A6">
          <w:pPr>
            <w:pStyle w:val="TOC1"/>
            <w:numPr>
              <w:ilvl w:val="0"/>
              <w:numId w:val="40"/>
            </w:numPr>
            <w:tabs>
              <w:tab w:val="left" w:pos="1640"/>
              <w:tab w:val="left" w:pos="1641"/>
              <w:tab w:val="right" w:pos="9727"/>
            </w:tabs>
            <w:spacing w:before="128"/>
            <w:rPr>
              <w:rFonts w:ascii="Arial" w:hAnsi="Arial" w:cs="Arial"/>
            </w:rPr>
          </w:pPr>
          <w:hyperlink w:anchor="_bookmark70" w:history="1">
            <w:r w:rsidR="00D5162D" w:rsidRPr="003948BA">
              <w:rPr>
                <w:rFonts w:ascii="Arial" w:hAnsi="Arial" w:cs="Arial"/>
              </w:rPr>
              <w:t>REPORTS TO UNIT</w:t>
            </w:r>
            <w:r w:rsidR="00D5162D" w:rsidRPr="003948BA">
              <w:rPr>
                <w:rFonts w:ascii="Arial" w:hAnsi="Arial" w:cs="Arial"/>
                <w:spacing w:val="-3"/>
              </w:rPr>
              <w:t xml:space="preserve"> </w:t>
            </w:r>
            <w:r w:rsidR="00D5162D" w:rsidRPr="003948BA">
              <w:rPr>
                <w:rFonts w:ascii="Arial" w:hAnsi="Arial" w:cs="Arial"/>
              </w:rPr>
              <w:t>HOLDERS</w:t>
            </w:r>
            <w:r w:rsidR="00D5162D" w:rsidRPr="003948BA">
              <w:rPr>
                <w:rFonts w:ascii="Arial" w:hAnsi="Arial" w:cs="Arial"/>
              </w:rPr>
              <w:tab/>
              <w:t>64</w:t>
            </w:r>
          </w:hyperlink>
        </w:p>
        <w:p w:rsidR="00D5162D" w:rsidRPr="003948BA" w:rsidRDefault="00173787" w:rsidP="00A002A6">
          <w:pPr>
            <w:pStyle w:val="TOC2"/>
            <w:numPr>
              <w:ilvl w:val="1"/>
              <w:numId w:val="40"/>
            </w:numPr>
            <w:tabs>
              <w:tab w:val="left" w:pos="1621"/>
              <w:tab w:val="left" w:pos="1622"/>
              <w:tab w:val="right" w:pos="9727"/>
            </w:tabs>
            <w:spacing w:before="108"/>
            <w:rPr>
              <w:rFonts w:ascii="Arial" w:hAnsi="Arial" w:cs="Arial"/>
            </w:rPr>
          </w:pPr>
          <w:hyperlink w:anchor="_bookmark71" w:history="1">
            <w:r w:rsidR="00D5162D" w:rsidRPr="003948BA">
              <w:rPr>
                <w:rFonts w:ascii="Arial" w:hAnsi="Arial" w:cs="Arial"/>
              </w:rPr>
              <w:t>Account Statement</w:t>
            </w:r>
            <w:r w:rsidR="00D5162D" w:rsidRPr="003948BA">
              <w:rPr>
                <w:rFonts w:ascii="Arial" w:hAnsi="Arial" w:cs="Arial"/>
              </w:rPr>
              <w:tab/>
              <w:t>64</w:t>
            </w:r>
          </w:hyperlink>
        </w:p>
        <w:p w:rsidR="00D5162D" w:rsidRPr="003948BA" w:rsidRDefault="00173787" w:rsidP="00A002A6">
          <w:pPr>
            <w:pStyle w:val="TOC2"/>
            <w:numPr>
              <w:ilvl w:val="1"/>
              <w:numId w:val="40"/>
            </w:numPr>
            <w:tabs>
              <w:tab w:val="left" w:pos="1621"/>
              <w:tab w:val="left" w:pos="1622"/>
              <w:tab w:val="right" w:pos="9727"/>
            </w:tabs>
            <w:rPr>
              <w:rFonts w:ascii="Arial" w:hAnsi="Arial" w:cs="Arial"/>
            </w:rPr>
          </w:pPr>
          <w:hyperlink w:anchor="_bookmark72" w:history="1">
            <w:r w:rsidR="00D5162D" w:rsidRPr="003948BA">
              <w:rPr>
                <w:rFonts w:ascii="Arial" w:hAnsi="Arial" w:cs="Arial"/>
              </w:rPr>
              <w:t>Financial</w:t>
            </w:r>
            <w:r w:rsidR="00D5162D" w:rsidRPr="003948BA">
              <w:rPr>
                <w:rFonts w:ascii="Arial" w:hAnsi="Arial" w:cs="Arial"/>
                <w:spacing w:val="1"/>
              </w:rPr>
              <w:t xml:space="preserve"> </w:t>
            </w:r>
            <w:r w:rsidR="00D5162D" w:rsidRPr="003948BA">
              <w:rPr>
                <w:rFonts w:ascii="Arial" w:hAnsi="Arial" w:cs="Arial"/>
              </w:rPr>
              <w:t>Reporting</w:t>
            </w:r>
            <w:r w:rsidR="00D5162D" w:rsidRPr="003948BA">
              <w:rPr>
                <w:rFonts w:ascii="Arial" w:hAnsi="Arial" w:cs="Arial"/>
              </w:rPr>
              <w:tab/>
              <w:t>64</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73" w:history="1">
            <w:r w:rsidR="00D5162D" w:rsidRPr="003948BA">
              <w:rPr>
                <w:rFonts w:ascii="Arial" w:hAnsi="Arial" w:cs="Arial"/>
              </w:rPr>
              <w:t>Trustee</w:t>
            </w:r>
            <w:r w:rsidR="00D5162D" w:rsidRPr="003948BA">
              <w:rPr>
                <w:rFonts w:ascii="Arial" w:hAnsi="Arial" w:cs="Arial"/>
                <w:spacing w:val="-1"/>
              </w:rPr>
              <w:t xml:space="preserve"> </w:t>
            </w:r>
            <w:r w:rsidR="00D5162D" w:rsidRPr="003948BA">
              <w:rPr>
                <w:rFonts w:ascii="Arial" w:hAnsi="Arial" w:cs="Arial"/>
              </w:rPr>
              <w:t>Report</w:t>
            </w:r>
            <w:r w:rsidR="00D5162D" w:rsidRPr="003948BA">
              <w:rPr>
                <w:rFonts w:ascii="Arial" w:hAnsi="Arial" w:cs="Arial"/>
              </w:rPr>
              <w:tab/>
              <w:t>65</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74" w:history="1">
            <w:r w:rsidR="00D5162D" w:rsidRPr="003948BA">
              <w:rPr>
                <w:rFonts w:ascii="Arial" w:hAnsi="Arial" w:cs="Arial"/>
              </w:rPr>
              <w:t>Fund Manager Report</w:t>
            </w:r>
            <w:r w:rsidR="00D5162D" w:rsidRPr="003948BA">
              <w:rPr>
                <w:rFonts w:ascii="Arial" w:hAnsi="Arial" w:cs="Arial"/>
              </w:rPr>
              <w:tab/>
              <w:t>65</w:t>
            </w:r>
          </w:hyperlink>
        </w:p>
        <w:p w:rsidR="00D5162D" w:rsidRPr="003948BA" w:rsidRDefault="00173787" w:rsidP="00A002A6">
          <w:pPr>
            <w:pStyle w:val="TOC1"/>
            <w:numPr>
              <w:ilvl w:val="0"/>
              <w:numId w:val="40"/>
            </w:numPr>
            <w:tabs>
              <w:tab w:val="left" w:pos="1640"/>
              <w:tab w:val="left" w:pos="1641"/>
              <w:tab w:val="right" w:pos="9727"/>
            </w:tabs>
            <w:rPr>
              <w:rFonts w:ascii="Arial" w:hAnsi="Arial" w:cs="Arial"/>
            </w:rPr>
          </w:pPr>
          <w:hyperlink w:anchor="_bookmark75" w:history="1">
            <w:r w:rsidR="00D5162D" w:rsidRPr="003948BA">
              <w:rPr>
                <w:rFonts w:ascii="Arial" w:hAnsi="Arial" w:cs="Arial"/>
              </w:rPr>
              <w:t>WARNING</w:t>
            </w:r>
            <w:r w:rsidR="00D5162D" w:rsidRPr="003948BA">
              <w:rPr>
                <w:rFonts w:ascii="Arial" w:hAnsi="Arial" w:cs="Arial"/>
                <w:spacing w:val="-2"/>
              </w:rPr>
              <w:t xml:space="preserve"> </w:t>
            </w:r>
            <w:r w:rsidR="00D5162D" w:rsidRPr="003948BA">
              <w:rPr>
                <w:rFonts w:ascii="Arial" w:hAnsi="Arial" w:cs="Arial"/>
              </w:rPr>
              <w:t>AND</w:t>
            </w:r>
            <w:r w:rsidR="00D5162D" w:rsidRPr="003948BA">
              <w:rPr>
                <w:rFonts w:ascii="Arial" w:hAnsi="Arial" w:cs="Arial"/>
                <w:spacing w:val="-1"/>
              </w:rPr>
              <w:t xml:space="preserve"> </w:t>
            </w:r>
            <w:r w:rsidR="00D5162D" w:rsidRPr="003948BA">
              <w:rPr>
                <w:rFonts w:ascii="Arial" w:hAnsi="Arial" w:cs="Arial"/>
              </w:rPr>
              <w:t>DISCLAIMER</w:t>
            </w:r>
            <w:r w:rsidR="00D5162D" w:rsidRPr="003948BA">
              <w:rPr>
                <w:rFonts w:ascii="Arial" w:hAnsi="Arial" w:cs="Arial"/>
              </w:rPr>
              <w:tab/>
              <w:t>65</w:t>
            </w:r>
          </w:hyperlink>
        </w:p>
        <w:p w:rsidR="00D5162D" w:rsidRPr="003948BA" w:rsidRDefault="00173787" w:rsidP="00A002A6">
          <w:pPr>
            <w:pStyle w:val="TOC2"/>
            <w:numPr>
              <w:ilvl w:val="1"/>
              <w:numId w:val="40"/>
            </w:numPr>
            <w:tabs>
              <w:tab w:val="left" w:pos="1621"/>
              <w:tab w:val="left" w:pos="1622"/>
              <w:tab w:val="right" w:pos="9727"/>
            </w:tabs>
            <w:spacing w:before="113" w:line="229" w:lineRule="exact"/>
            <w:rPr>
              <w:rFonts w:ascii="Arial" w:hAnsi="Arial" w:cs="Arial"/>
            </w:rPr>
          </w:pPr>
          <w:hyperlink w:anchor="_bookmark76" w:history="1">
            <w:r w:rsidR="00D5162D" w:rsidRPr="003948BA">
              <w:rPr>
                <w:rFonts w:ascii="Arial" w:hAnsi="Arial" w:cs="Arial"/>
              </w:rPr>
              <w:t>Warning</w:t>
            </w:r>
            <w:r w:rsidR="00D5162D" w:rsidRPr="003948BA">
              <w:rPr>
                <w:rFonts w:ascii="Arial" w:hAnsi="Arial" w:cs="Arial"/>
              </w:rPr>
              <w:tab/>
              <w:t>65</w:t>
            </w:r>
          </w:hyperlink>
        </w:p>
        <w:p w:rsidR="00D5162D" w:rsidRPr="003948BA" w:rsidRDefault="00173787" w:rsidP="00A002A6">
          <w:pPr>
            <w:pStyle w:val="TOC2"/>
            <w:numPr>
              <w:ilvl w:val="1"/>
              <w:numId w:val="40"/>
            </w:numPr>
            <w:tabs>
              <w:tab w:val="left" w:pos="1621"/>
              <w:tab w:val="left" w:pos="1622"/>
              <w:tab w:val="right" w:pos="9727"/>
            </w:tabs>
            <w:spacing w:line="229" w:lineRule="exact"/>
            <w:rPr>
              <w:rFonts w:ascii="Arial" w:hAnsi="Arial" w:cs="Arial"/>
            </w:rPr>
          </w:pPr>
          <w:hyperlink w:anchor="_bookmark77" w:history="1">
            <w:r w:rsidR="00D5162D" w:rsidRPr="003948BA">
              <w:rPr>
                <w:rFonts w:ascii="Arial" w:hAnsi="Arial" w:cs="Arial"/>
              </w:rPr>
              <w:t>Disclaimer</w:t>
            </w:r>
            <w:r w:rsidR="00D5162D" w:rsidRPr="003948BA">
              <w:rPr>
                <w:rFonts w:ascii="Arial" w:hAnsi="Arial" w:cs="Arial"/>
              </w:rPr>
              <w:tab/>
              <w:t>65</w:t>
            </w:r>
          </w:hyperlink>
        </w:p>
        <w:p w:rsidR="00D5162D" w:rsidRPr="003948BA" w:rsidRDefault="00173787" w:rsidP="00A002A6">
          <w:pPr>
            <w:pStyle w:val="TOC1"/>
            <w:numPr>
              <w:ilvl w:val="0"/>
              <w:numId w:val="40"/>
            </w:numPr>
            <w:tabs>
              <w:tab w:val="left" w:pos="1640"/>
              <w:tab w:val="left" w:pos="1641"/>
              <w:tab w:val="right" w:pos="9727"/>
            </w:tabs>
            <w:spacing w:before="125"/>
            <w:rPr>
              <w:rFonts w:ascii="Arial" w:hAnsi="Arial" w:cs="Arial"/>
            </w:rPr>
          </w:pPr>
          <w:hyperlink w:anchor="_bookmark78" w:history="1">
            <w:r w:rsidR="00D5162D" w:rsidRPr="003948BA">
              <w:rPr>
                <w:rFonts w:ascii="Arial" w:hAnsi="Arial" w:cs="Arial"/>
              </w:rPr>
              <w:t>GENERAL</w:t>
            </w:r>
            <w:r w:rsidR="00D5162D" w:rsidRPr="003948BA">
              <w:rPr>
                <w:rFonts w:ascii="Arial" w:hAnsi="Arial" w:cs="Arial"/>
                <w:spacing w:val="-2"/>
              </w:rPr>
              <w:t xml:space="preserve"> </w:t>
            </w:r>
            <w:r w:rsidR="00D5162D" w:rsidRPr="003948BA">
              <w:rPr>
                <w:rFonts w:ascii="Arial" w:hAnsi="Arial" w:cs="Arial"/>
              </w:rPr>
              <w:t>INFORMATION</w:t>
            </w:r>
            <w:r w:rsidR="00D5162D" w:rsidRPr="003948BA">
              <w:rPr>
                <w:rFonts w:ascii="Arial" w:hAnsi="Arial" w:cs="Arial"/>
              </w:rPr>
              <w:tab/>
              <w:t>65</w:t>
            </w:r>
          </w:hyperlink>
        </w:p>
        <w:p w:rsidR="00D5162D" w:rsidRPr="003948BA" w:rsidRDefault="00173787" w:rsidP="00A002A6">
          <w:pPr>
            <w:pStyle w:val="TOC2"/>
            <w:numPr>
              <w:ilvl w:val="1"/>
              <w:numId w:val="40"/>
            </w:numPr>
            <w:tabs>
              <w:tab w:val="left" w:pos="1621"/>
              <w:tab w:val="left" w:pos="1622"/>
              <w:tab w:val="right" w:pos="9727"/>
            </w:tabs>
            <w:spacing w:before="113" w:line="229" w:lineRule="exact"/>
            <w:rPr>
              <w:rFonts w:ascii="Arial" w:hAnsi="Arial" w:cs="Arial"/>
            </w:rPr>
          </w:pPr>
          <w:hyperlink w:anchor="_bookmark79" w:history="1">
            <w:r w:rsidR="00D5162D" w:rsidRPr="003948BA">
              <w:rPr>
                <w:rFonts w:ascii="Arial" w:hAnsi="Arial" w:cs="Arial"/>
              </w:rPr>
              <w:t>Accounting Period / Financial Year of the</w:t>
            </w:r>
            <w:r w:rsidR="00D5162D" w:rsidRPr="003948BA">
              <w:rPr>
                <w:rFonts w:ascii="Arial" w:hAnsi="Arial" w:cs="Arial"/>
                <w:spacing w:val="-1"/>
              </w:rPr>
              <w:t xml:space="preserve"> </w:t>
            </w:r>
            <w:r w:rsidR="00D5162D" w:rsidRPr="003948BA">
              <w:rPr>
                <w:rFonts w:ascii="Arial" w:hAnsi="Arial" w:cs="Arial"/>
              </w:rPr>
              <w:t>Fund</w:t>
            </w:r>
            <w:r w:rsidR="00D5162D" w:rsidRPr="003948BA">
              <w:rPr>
                <w:rFonts w:ascii="Arial" w:hAnsi="Arial" w:cs="Arial"/>
              </w:rPr>
              <w:tab/>
              <w:t>65</w:t>
            </w:r>
          </w:hyperlink>
        </w:p>
        <w:p w:rsidR="00D5162D" w:rsidRPr="003948BA" w:rsidRDefault="00173787" w:rsidP="00A002A6">
          <w:pPr>
            <w:pStyle w:val="TOC2"/>
            <w:numPr>
              <w:ilvl w:val="1"/>
              <w:numId w:val="40"/>
            </w:numPr>
            <w:tabs>
              <w:tab w:val="left" w:pos="1621"/>
              <w:tab w:val="left" w:pos="1622"/>
              <w:tab w:val="right" w:pos="9727"/>
            </w:tabs>
            <w:spacing w:line="229" w:lineRule="exact"/>
            <w:rPr>
              <w:rFonts w:ascii="Arial" w:hAnsi="Arial" w:cs="Arial"/>
            </w:rPr>
          </w:pPr>
          <w:hyperlink w:anchor="_bookmark80" w:history="1">
            <w:r w:rsidR="00D5162D" w:rsidRPr="003948BA">
              <w:rPr>
                <w:rFonts w:ascii="Arial" w:hAnsi="Arial" w:cs="Arial"/>
              </w:rPr>
              <w:t>Inspection of</w:t>
            </w:r>
            <w:r w:rsidR="00D5162D" w:rsidRPr="003948BA">
              <w:rPr>
                <w:rFonts w:ascii="Arial" w:hAnsi="Arial" w:cs="Arial"/>
                <w:spacing w:val="-2"/>
              </w:rPr>
              <w:t xml:space="preserve"> </w:t>
            </w:r>
            <w:r w:rsidR="00D5162D" w:rsidRPr="003948BA">
              <w:rPr>
                <w:rFonts w:ascii="Arial" w:hAnsi="Arial" w:cs="Arial"/>
              </w:rPr>
              <w:t>Constitutive Documents</w:t>
            </w:r>
            <w:r w:rsidR="00D5162D" w:rsidRPr="003948BA">
              <w:rPr>
                <w:rFonts w:ascii="Arial" w:hAnsi="Arial" w:cs="Arial"/>
              </w:rPr>
              <w:tab/>
              <w:t>66</w:t>
            </w:r>
          </w:hyperlink>
        </w:p>
        <w:p w:rsidR="00D5162D" w:rsidRPr="003948BA" w:rsidRDefault="00173787" w:rsidP="00A002A6">
          <w:pPr>
            <w:pStyle w:val="TOC2"/>
            <w:numPr>
              <w:ilvl w:val="1"/>
              <w:numId w:val="40"/>
            </w:numPr>
            <w:tabs>
              <w:tab w:val="left" w:pos="1621"/>
              <w:tab w:val="left" w:pos="1622"/>
              <w:tab w:val="right" w:pos="9727"/>
            </w:tabs>
            <w:spacing w:before="1"/>
            <w:rPr>
              <w:rFonts w:ascii="Arial" w:hAnsi="Arial" w:cs="Arial"/>
            </w:rPr>
          </w:pPr>
          <w:hyperlink w:anchor="_bookmark81" w:history="1">
            <w:r w:rsidR="00D5162D" w:rsidRPr="003948BA">
              <w:rPr>
                <w:rFonts w:ascii="Arial" w:hAnsi="Arial" w:cs="Arial"/>
              </w:rPr>
              <w:t>Transfer of Management Rights of</w:t>
            </w:r>
            <w:r w:rsidR="00D5162D" w:rsidRPr="003948BA">
              <w:rPr>
                <w:rFonts w:ascii="Arial" w:hAnsi="Arial" w:cs="Arial"/>
                <w:spacing w:val="-3"/>
              </w:rPr>
              <w:t xml:space="preserve"> </w:t>
            </w:r>
            <w:r w:rsidR="00D5162D" w:rsidRPr="003948BA">
              <w:rPr>
                <w:rFonts w:ascii="Arial" w:hAnsi="Arial" w:cs="Arial"/>
              </w:rPr>
              <w:t>the</w:t>
            </w:r>
            <w:r w:rsidR="00D5162D" w:rsidRPr="003948BA">
              <w:rPr>
                <w:rFonts w:ascii="Arial" w:hAnsi="Arial" w:cs="Arial"/>
                <w:spacing w:val="-1"/>
              </w:rPr>
              <w:t xml:space="preserve"> </w:t>
            </w:r>
            <w:r w:rsidR="00D5162D" w:rsidRPr="003948BA">
              <w:rPr>
                <w:rFonts w:ascii="Arial" w:hAnsi="Arial" w:cs="Arial"/>
              </w:rPr>
              <w:t>Fund</w:t>
            </w:r>
            <w:r w:rsidR="00D5162D" w:rsidRPr="003948BA">
              <w:rPr>
                <w:rFonts w:ascii="Arial" w:hAnsi="Arial" w:cs="Arial"/>
              </w:rPr>
              <w:tab/>
              <w:t>66</w:t>
            </w:r>
          </w:hyperlink>
        </w:p>
        <w:p w:rsidR="00D5162D" w:rsidRPr="003948BA" w:rsidRDefault="00173787" w:rsidP="00A002A6">
          <w:pPr>
            <w:pStyle w:val="TOC2"/>
            <w:numPr>
              <w:ilvl w:val="1"/>
              <w:numId w:val="40"/>
            </w:numPr>
            <w:tabs>
              <w:tab w:val="left" w:pos="1621"/>
              <w:tab w:val="left" w:pos="1622"/>
              <w:tab w:val="right" w:pos="9727"/>
            </w:tabs>
            <w:spacing w:before="3" w:line="229" w:lineRule="exact"/>
            <w:rPr>
              <w:rFonts w:ascii="Arial" w:hAnsi="Arial" w:cs="Arial"/>
            </w:rPr>
          </w:pPr>
          <w:hyperlink w:anchor="_bookmark82" w:history="1">
            <w:r w:rsidR="00D5162D" w:rsidRPr="003948BA">
              <w:rPr>
                <w:rFonts w:ascii="Arial" w:hAnsi="Arial" w:cs="Arial"/>
              </w:rPr>
              <w:t>Extinguishment/Revocation of</w:t>
            </w:r>
            <w:r w:rsidR="00D5162D" w:rsidRPr="003948BA">
              <w:rPr>
                <w:rFonts w:ascii="Arial" w:hAnsi="Arial" w:cs="Arial"/>
                <w:spacing w:val="-1"/>
              </w:rPr>
              <w:t xml:space="preserve"> </w:t>
            </w:r>
            <w:r w:rsidR="00D5162D" w:rsidRPr="003948BA">
              <w:rPr>
                <w:rFonts w:ascii="Arial" w:hAnsi="Arial" w:cs="Arial"/>
              </w:rPr>
              <w:t>the</w:t>
            </w:r>
            <w:r w:rsidR="00D5162D" w:rsidRPr="003948BA">
              <w:rPr>
                <w:rFonts w:ascii="Arial" w:hAnsi="Arial" w:cs="Arial"/>
                <w:spacing w:val="-1"/>
              </w:rPr>
              <w:t xml:space="preserve"> </w:t>
            </w:r>
            <w:r w:rsidR="00D5162D" w:rsidRPr="003948BA">
              <w:rPr>
                <w:rFonts w:ascii="Arial" w:hAnsi="Arial" w:cs="Arial"/>
              </w:rPr>
              <w:t>Fund</w:t>
            </w:r>
            <w:r w:rsidR="00D5162D" w:rsidRPr="003948BA">
              <w:rPr>
                <w:rFonts w:ascii="Arial" w:hAnsi="Arial" w:cs="Arial"/>
              </w:rPr>
              <w:tab/>
              <w:t>66</w:t>
            </w:r>
          </w:hyperlink>
        </w:p>
        <w:p w:rsidR="00D5162D" w:rsidRPr="003948BA" w:rsidRDefault="00173787" w:rsidP="00A002A6">
          <w:pPr>
            <w:pStyle w:val="TOC2"/>
            <w:numPr>
              <w:ilvl w:val="1"/>
              <w:numId w:val="40"/>
            </w:numPr>
            <w:tabs>
              <w:tab w:val="left" w:pos="1621"/>
              <w:tab w:val="left" w:pos="1622"/>
              <w:tab w:val="right" w:pos="9727"/>
            </w:tabs>
            <w:spacing w:line="228" w:lineRule="exact"/>
            <w:rPr>
              <w:rFonts w:ascii="Arial" w:hAnsi="Arial" w:cs="Arial"/>
            </w:rPr>
          </w:pPr>
          <w:hyperlink w:anchor="_bookmark83" w:history="1">
            <w:r w:rsidR="00D5162D" w:rsidRPr="003948BA">
              <w:rPr>
                <w:rFonts w:ascii="Arial" w:hAnsi="Arial" w:cs="Arial"/>
              </w:rPr>
              <w:t>Procedure and manner of Revocation of the</w:t>
            </w:r>
            <w:r w:rsidR="00D5162D" w:rsidRPr="003948BA">
              <w:rPr>
                <w:rFonts w:ascii="Arial" w:hAnsi="Arial" w:cs="Arial"/>
                <w:spacing w:val="-1"/>
              </w:rPr>
              <w:t xml:space="preserve"> </w:t>
            </w:r>
            <w:r w:rsidR="00D5162D" w:rsidRPr="003948BA">
              <w:rPr>
                <w:rFonts w:ascii="Arial" w:hAnsi="Arial" w:cs="Arial"/>
              </w:rPr>
              <w:t>Fund</w:t>
            </w:r>
            <w:r w:rsidR="00D5162D" w:rsidRPr="003948BA">
              <w:rPr>
                <w:rFonts w:ascii="Arial" w:hAnsi="Arial" w:cs="Arial"/>
              </w:rPr>
              <w:tab/>
              <w:t>67</w:t>
            </w:r>
          </w:hyperlink>
        </w:p>
        <w:p w:rsidR="00D5162D" w:rsidRPr="003948BA" w:rsidRDefault="00173787" w:rsidP="00A002A6">
          <w:pPr>
            <w:pStyle w:val="TOC2"/>
            <w:numPr>
              <w:ilvl w:val="1"/>
              <w:numId w:val="40"/>
            </w:numPr>
            <w:tabs>
              <w:tab w:val="left" w:pos="1621"/>
              <w:tab w:val="left" w:pos="1622"/>
              <w:tab w:val="right" w:pos="9727"/>
            </w:tabs>
            <w:spacing w:line="229" w:lineRule="exact"/>
            <w:rPr>
              <w:rFonts w:ascii="Arial" w:hAnsi="Arial" w:cs="Arial"/>
            </w:rPr>
          </w:pPr>
          <w:hyperlink w:anchor="_bookmark84" w:history="1">
            <w:r w:rsidR="00D5162D" w:rsidRPr="003948BA">
              <w:rPr>
                <w:rFonts w:ascii="Arial" w:hAnsi="Arial" w:cs="Arial"/>
              </w:rPr>
              <w:t>Distribution of proceeds</w:t>
            </w:r>
            <w:r w:rsidR="00D5162D" w:rsidRPr="003948BA">
              <w:rPr>
                <w:rFonts w:ascii="Arial" w:hAnsi="Arial" w:cs="Arial"/>
                <w:spacing w:val="-7"/>
              </w:rPr>
              <w:t xml:space="preserve"> </w:t>
            </w:r>
            <w:r w:rsidR="00D5162D" w:rsidRPr="003948BA">
              <w:rPr>
                <w:rFonts w:ascii="Arial" w:hAnsi="Arial" w:cs="Arial"/>
              </w:rPr>
              <w:t>on</w:t>
            </w:r>
            <w:r w:rsidR="00D5162D" w:rsidRPr="003948BA">
              <w:rPr>
                <w:rFonts w:ascii="Arial" w:hAnsi="Arial" w:cs="Arial"/>
                <w:spacing w:val="-5"/>
              </w:rPr>
              <w:t xml:space="preserve"> </w:t>
            </w:r>
            <w:r w:rsidR="00D5162D" w:rsidRPr="003948BA">
              <w:rPr>
                <w:rFonts w:ascii="Arial" w:hAnsi="Arial" w:cs="Arial"/>
              </w:rPr>
              <w:t>Revocation</w:t>
            </w:r>
            <w:r w:rsidR="00D5162D" w:rsidRPr="003948BA">
              <w:rPr>
                <w:rFonts w:ascii="Arial" w:hAnsi="Arial" w:cs="Arial"/>
              </w:rPr>
              <w:tab/>
              <w:t>67</w:t>
            </w:r>
          </w:hyperlink>
        </w:p>
        <w:p w:rsidR="00D5162D" w:rsidRPr="003948BA" w:rsidRDefault="00173787" w:rsidP="00A002A6">
          <w:pPr>
            <w:pStyle w:val="TOC2"/>
            <w:numPr>
              <w:ilvl w:val="1"/>
              <w:numId w:val="40"/>
            </w:numPr>
            <w:tabs>
              <w:tab w:val="left" w:pos="1621"/>
              <w:tab w:val="left" w:pos="1622"/>
              <w:tab w:val="right" w:pos="9727"/>
            </w:tabs>
            <w:rPr>
              <w:rFonts w:ascii="Arial" w:hAnsi="Arial" w:cs="Arial"/>
            </w:rPr>
          </w:pPr>
          <w:hyperlink w:anchor="_bookmark85" w:history="1">
            <w:r w:rsidR="00D5162D" w:rsidRPr="003948BA">
              <w:rPr>
                <w:rFonts w:ascii="Arial" w:hAnsi="Arial" w:cs="Arial"/>
              </w:rPr>
              <w:t>GLOSSARY</w:t>
            </w:r>
            <w:r w:rsidR="00D5162D" w:rsidRPr="003948BA">
              <w:rPr>
                <w:rFonts w:ascii="Arial" w:hAnsi="Arial" w:cs="Arial"/>
              </w:rPr>
              <w:tab/>
              <w:t>68</w:t>
            </w:r>
          </w:hyperlink>
        </w:p>
      </w:sdtContent>
    </w:sdt>
    <w:p w:rsidR="005E5B48" w:rsidRPr="003948BA" w:rsidRDefault="005E5B48">
      <w:pPr>
        <w:sectPr w:rsidR="005E5B48" w:rsidRPr="003948BA" w:rsidSect="008F4880">
          <w:headerReference w:type="default" r:id="rId11"/>
          <w:footerReference w:type="default" r:id="rId12"/>
          <w:pgSz w:w="11920" w:h="16850"/>
          <w:pgMar w:top="1020" w:right="340" w:bottom="980" w:left="880" w:header="180" w:footer="594" w:gutter="0"/>
          <w:cols w:space="720"/>
        </w:sectPr>
      </w:pPr>
    </w:p>
    <w:p w:rsidR="005E5B48" w:rsidRPr="003948BA" w:rsidRDefault="005E5B48">
      <w:pPr>
        <w:pStyle w:val="BodyText"/>
        <w:spacing w:before="3"/>
        <w:rPr>
          <w:sz w:val="27"/>
        </w:rPr>
      </w:pPr>
    </w:p>
    <w:p w:rsidR="005E5B48" w:rsidRPr="003948BA" w:rsidRDefault="00814043">
      <w:pPr>
        <w:pStyle w:val="Heading2"/>
        <w:spacing w:before="1"/>
        <w:ind w:right="886"/>
        <w:jc w:val="center"/>
      </w:pPr>
      <w:r w:rsidRPr="003948BA">
        <w:t>OFFERING DOCUMENT OF</w:t>
      </w:r>
    </w:p>
    <w:p w:rsidR="005E5B48" w:rsidRPr="003948BA" w:rsidRDefault="005E5B48">
      <w:pPr>
        <w:pStyle w:val="BodyText"/>
        <w:spacing w:before="11"/>
        <w:rPr>
          <w:b/>
          <w:sz w:val="19"/>
        </w:rPr>
      </w:pPr>
    </w:p>
    <w:p w:rsidR="005E5B48" w:rsidRPr="003948BA" w:rsidRDefault="00814043">
      <w:pPr>
        <w:ind w:left="3239" w:right="2645"/>
        <w:jc w:val="center"/>
        <w:rPr>
          <w:b/>
          <w:sz w:val="20"/>
        </w:rPr>
      </w:pPr>
      <w:r w:rsidRPr="003948BA">
        <w:rPr>
          <w:b/>
          <w:sz w:val="20"/>
        </w:rPr>
        <w:t xml:space="preserve">Al-Ameen Islamic Financial Planning Fund – </w:t>
      </w:r>
      <w:r w:rsidR="00CA2698">
        <w:rPr>
          <w:b/>
          <w:sz w:val="20"/>
        </w:rPr>
        <w:t>IV</w:t>
      </w:r>
      <w:r w:rsidR="00CA2698" w:rsidRPr="003948BA">
        <w:rPr>
          <w:b/>
          <w:sz w:val="20"/>
        </w:rPr>
        <w:t xml:space="preserve"> </w:t>
      </w:r>
      <w:r w:rsidRPr="003948BA">
        <w:rPr>
          <w:b/>
          <w:sz w:val="20"/>
        </w:rPr>
        <w:t>(AIFPF-</w:t>
      </w:r>
      <w:r w:rsidR="00CA2698">
        <w:rPr>
          <w:b/>
          <w:sz w:val="20"/>
        </w:rPr>
        <w:t>IV</w:t>
      </w:r>
      <w:r w:rsidRPr="003948BA">
        <w:rPr>
          <w:b/>
          <w:sz w:val="20"/>
        </w:rPr>
        <w:t>)</w:t>
      </w:r>
    </w:p>
    <w:p w:rsidR="005E5B48" w:rsidRPr="003948BA" w:rsidRDefault="005E5B48">
      <w:pPr>
        <w:pStyle w:val="BodyText"/>
        <w:spacing w:before="11"/>
        <w:rPr>
          <w:b/>
          <w:sz w:val="21"/>
        </w:rPr>
      </w:pPr>
    </w:p>
    <w:p w:rsidR="005E5B48" w:rsidRPr="003948BA" w:rsidRDefault="00814043">
      <w:pPr>
        <w:ind w:left="1155" w:right="885"/>
        <w:jc w:val="center"/>
        <w:rPr>
          <w:b/>
        </w:rPr>
      </w:pPr>
      <w:r w:rsidRPr="003948BA">
        <w:rPr>
          <w:b/>
        </w:rPr>
        <w:t>MANAGED BY</w:t>
      </w:r>
    </w:p>
    <w:p w:rsidR="005E5B48" w:rsidRPr="003948BA" w:rsidRDefault="005E5B48">
      <w:pPr>
        <w:pStyle w:val="BodyText"/>
        <w:spacing w:before="9"/>
        <w:rPr>
          <w:b/>
          <w:sz w:val="21"/>
        </w:rPr>
      </w:pPr>
    </w:p>
    <w:p w:rsidR="005E5B48" w:rsidRPr="003948BA" w:rsidRDefault="00814043">
      <w:pPr>
        <w:spacing w:before="1"/>
        <w:ind w:left="3774"/>
        <w:rPr>
          <w:b/>
        </w:rPr>
      </w:pPr>
      <w:r w:rsidRPr="003948BA">
        <w:rPr>
          <w:b/>
        </w:rPr>
        <w:t>UBL FUND MANAGERS LIMITED</w:t>
      </w:r>
    </w:p>
    <w:p w:rsidR="005E5B48" w:rsidRPr="003948BA" w:rsidRDefault="005E5B48">
      <w:pPr>
        <w:pStyle w:val="BodyText"/>
        <w:rPr>
          <w:b/>
          <w:sz w:val="22"/>
        </w:rPr>
      </w:pPr>
    </w:p>
    <w:p w:rsidR="005E5B48" w:rsidRPr="003948BA" w:rsidRDefault="00814043">
      <w:pPr>
        <w:ind w:left="1155" w:right="810"/>
        <w:jc w:val="center"/>
        <w:rPr>
          <w:b/>
        </w:rPr>
      </w:pPr>
      <w:r w:rsidRPr="003948BA">
        <w:rPr>
          <w:b/>
        </w:rPr>
        <w:t>[An Asset Management Company Registered under the Non-Banking Finance Companies (Establishment and Regulation) Rules, 2003]</w:t>
      </w:r>
    </w:p>
    <w:p w:rsidR="000804B4" w:rsidRPr="003948BA" w:rsidRDefault="00814043">
      <w:pPr>
        <w:spacing w:before="15" w:line="558" w:lineRule="exact"/>
        <w:ind w:left="2761" w:right="1996"/>
        <w:jc w:val="center"/>
        <w:rPr>
          <w:b/>
          <w:sz w:val="20"/>
        </w:rPr>
      </w:pPr>
      <w:r w:rsidRPr="003948BA">
        <w:rPr>
          <w:b/>
          <w:sz w:val="20"/>
        </w:rPr>
        <w:t xml:space="preserve">Date of Publication of Offering Document Dated </w:t>
      </w:r>
      <w:r w:rsidR="00173787">
        <w:rPr>
          <w:b/>
          <w:sz w:val="20"/>
        </w:rPr>
        <w:t>26-09-2019</w:t>
      </w:r>
    </w:p>
    <w:p w:rsidR="005E5B48" w:rsidRPr="003948BA" w:rsidRDefault="00CA2698">
      <w:pPr>
        <w:spacing w:before="15" w:line="558" w:lineRule="exact"/>
        <w:ind w:left="2761" w:right="1996"/>
        <w:jc w:val="center"/>
        <w:rPr>
          <w:b/>
        </w:rPr>
      </w:pPr>
      <w:r>
        <w:rPr>
          <w:b/>
        </w:rPr>
        <w:t>Pre IPO</w:t>
      </w:r>
      <w:r w:rsidR="009C5253">
        <w:rPr>
          <w:b/>
        </w:rPr>
        <w:t xml:space="preserve"> Date</w:t>
      </w:r>
      <w:r w:rsidR="00016CEC" w:rsidRPr="003948BA">
        <w:rPr>
          <w:b/>
        </w:rPr>
        <w:t xml:space="preserve"> </w:t>
      </w:r>
      <w:r w:rsidRPr="00173787">
        <w:rPr>
          <w:highlight w:val="yellow"/>
        </w:rPr>
        <w:t>__________</w:t>
      </w:r>
    </w:p>
    <w:p w:rsidR="005E5B48" w:rsidRPr="003948BA" w:rsidRDefault="009C5253">
      <w:pPr>
        <w:spacing w:line="198" w:lineRule="exact"/>
        <w:ind w:left="1155" w:right="884"/>
        <w:jc w:val="center"/>
        <w:rPr>
          <w:b/>
        </w:rPr>
      </w:pPr>
      <w:r>
        <w:rPr>
          <w:b/>
        </w:rPr>
        <w:t xml:space="preserve">        </w:t>
      </w:r>
      <w:r w:rsidR="00814043" w:rsidRPr="003948BA">
        <w:rPr>
          <w:b/>
        </w:rPr>
        <w:t>One Day IPO</w:t>
      </w:r>
      <w:r>
        <w:rPr>
          <w:b/>
        </w:rPr>
        <w:t xml:space="preserve"> Date </w:t>
      </w:r>
      <w:r w:rsidR="00CA2698" w:rsidRPr="00173787">
        <w:rPr>
          <w:b/>
          <w:highlight w:val="yellow"/>
        </w:rPr>
        <w:t>__________</w:t>
      </w:r>
    </w:p>
    <w:p w:rsidR="005E5B48" w:rsidRPr="003948BA" w:rsidRDefault="005E5B48">
      <w:pPr>
        <w:pStyle w:val="BodyText"/>
        <w:rPr>
          <w:b/>
        </w:rPr>
      </w:pPr>
    </w:p>
    <w:p w:rsidR="005E5B48" w:rsidRPr="003948BA" w:rsidRDefault="00EE5F9C">
      <w:pPr>
        <w:pStyle w:val="BodyText"/>
        <w:rPr>
          <w:b/>
        </w:rPr>
      </w:pPr>
      <w:r w:rsidRPr="003948BA">
        <w:rPr>
          <w:noProof/>
          <w:lang w:bidi="ar-SA"/>
        </w:rPr>
        <mc:AlternateContent>
          <mc:Choice Requires="wps">
            <w:drawing>
              <wp:anchor distT="0" distB="0" distL="0" distR="0" simplePos="0" relativeHeight="1072" behindDoc="0" locked="0" layoutInCell="1" allowOverlap="1" wp14:anchorId="4DDD41A5" wp14:editId="3C2C3474">
                <wp:simplePos x="0" y="0"/>
                <wp:positionH relativeFrom="page">
                  <wp:posOffset>1353820</wp:posOffset>
                </wp:positionH>
                <wp:positionV relativeFrom="paragraph">
                  <wp:posOffset>180340</wp:posOffset>
                </wp:positionV>
                <wp:extent cx="5368290" cy="0"/>
                <wp:effectExtent l="10795" t="15240" r="12065" b="13335"/>
                <wp:wrapTopAndBottom/>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D9B55B" id="Line 2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4.2pt" to="52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TBFQIAACsEAAAOAAAAZHJzL2Uyb0RvYy54bWysU02P2jAQvVfqf7Byh3yQpS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" strokeweight="1.44pt">
                <w10:wrap type="topAndBottom" anchorx="page"/>
              </v:line>
            </w:pict>
          </mc:Fallback>
        </mc:AlternateContent>
      </w:r>
    </w:p>
    <w:p w:rsidR="005E5B48" w:rsidRPr="003948BA" w:rsidRDefault="00814043">
      <w:pPr>
        <w:pStyle w:val="BodyText"/>
        <w:spacing w:after="34" w:line="206" w:lineRule="auto"/>
        <w:ind w:left="1280" w:right="997"/>
        <w:jc w:val="both"/>
      </w:pPr>
      <w:r w:rsidRPr="003948BA">
        <w:t xml:space="preserve">The Al-Ameen Islamic Financial  Planning  Fund - </w:t>
      </w:r>
      <w:r w:rsidR="00CA2698">
        <w:t>IV</w:t>
      </w:r>
      <w:r w:rsidR="00CA2698" w:rsidRPr="003948BA">
        <w:t xml:space="preserve">  </w:t>
      </w:r>
      <w:r w:rsidRPr="003948BA">
        <w:t>(the  Fund/the  Scheme/the  Trust/the  Unit Trust/</w:t>
      </w:r>
      <w:r w:rsidR="00CA2698">
        <w:t>AIFPF-IV</w:t>
      </w:r>
      <w:r w:rsidRPr="003948BA">
        <w:t>) has been established through a Trust Deed (the Deed) dated</w:t>
      </w:r>
      <w:r w:rsidR="0049106D" w:rsidRPr="003948BA">
        <w:t xml:space="preserve"> </w:t>
      </w:r>
      <w:r w:rsidR="00531980">
        <w:t>10-09-2018</w:t>
      </w:r>
      <w:r w:rsidRPr="003948BA">
        <w:t xml:space="preserve">, under the Trust Act, 1882 entered into and between </w:t>
      </w:r>
      <w:r w:rsidRPr="003948BA">
        <w:rPr>
          <w:b/>
        </w:rPr>
        <w:t xml:space="preserve">UBL Fund Managers </w:t>
      </w:r>
      <w:r w:rsidRPr="003948BA">
        <w:t xml:space="preserve">Limited, the Management Company, </w:t>
      </w:r>
      <w:r w:rsidRPr="003948BA">
        <w:rPr>
          <w:b/>
        </w:rPr>
        <w:t>Central Depository Company of Pakistan Limited</w:t>
      </w:r>
      <w:r w:rsidRPr="003948BA">
        <w:t>, the</w:t>
      </w:r>
      <w:r w:rsidRPr="003948BA">
        <w:rPr>
          <w:spacing w:val="-1"/>
        </w:rPr>
        <w:t xml:space="preserve"> </w:t>
      </w:r>
      <w:r w:rsidRPr="003948BA">
        <w:t>Trustee.</w:t>
      </w:r>
    </w:p>
    <w:p w:rsidR="005E5B48" w:rsidRPr="003948BA" w:rsidRDefault="00814043">
      <w:pPr>
        <w:pStyle w:val="BodyText"/>
        <w:spacing w:line="20" w:lineRule="exact"/>
        <w:ind w:left="1247"/>
        <w:rPr>
          <w:sz w:val="2"/>
        </w:rPr>
      </w:pPr>
      <w:r w:rsidRPr="003948BA">
        <w:rPr>
          <w:spacing w:val="5"/>
          <w:sz w:val="2"/>
        </w:rPr>
        <w:t xml:space="preserve"> </w:t>
      </w:r>
      <w:r w:rsidR="00EE5F9C" w:rsidRPr="003948BA">
        <w:rPr>
          <w:noProof/>
          <w:spacing w:val="5"/>
          <w:sz w:val="2"/>
          <w:lang w:bidi="ar-SA"/>
        </w:rPr>
        <mc:AlternateContent>
          <mc:Choice Requires="wpg">
            <w:drawing>
              <wp:inline distT="0" distB="0" distL="0" distR="0" wp14:anchorId="06E513FF" wp14:editId="1D3CC68D">
                <wp:extent cx="5368290" cy="6350"/>
                <wp:effectExtent l="13970" t="7620" r="8890" b="5080"/>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290" cy="6350"/>
                          <a:chOff x="0" y="0"/>
                          <a:chExt cx="8454" cy="10"/>
                        </a:xfrm>
                      </wpg:grpSpPr>
                      <wps:wsp>
                        <wps:cNvPr id="32" name="Line 25"/>
                        <wps:cNvCnPr>
                          <a:cxnSpLocks noChangeShapeType="1"/>
                        </wps:cNvCnPr>
                        <wps:spPr bwMode="auto">
                          <a:xfrm>
                            <a:off x="0" y="5"/>
                            <a:ext cx="84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763CBA" id="Group 24" o:spid="_x0000_s1026" style="width:422.7pt;height:.5pt;mso-position-horizontal-relative:char;mso-position-vertical-relative:line" coordsize="8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">
                <v:line id="Line 25" o:spid="_x0000_s1027" style="position:absolute;visibility:visible;mso-wrap-style:square" from="0,5" to="8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rsidR="005E5B48" w:rsidRPr="003948BA" w:rsidRDefault="00814043">
      <w:pPr>
        <w:pStyle w:val="Heading2"/>
        <w:spacing w:before="194"/>
        <w:ind w:left="1280"/>
        <w:jc w:val="both"/>
      </w:pPr>
      <w:r w:rsidRPr="003948BA">
        <w:t>REGULATORY APPROVAL AND CONSENT</w:t>
      </w:r>
    </w:p>
    <w:p w:rsidR="005E5B48" w:rsidRPr="003948BA" w:rsidRDefault="005E5B48">
      <w:pPr>
        <w:pStyle w:val="BodyText"/>
        <w:spacing w:before="9"/>
        <w:rPr>
          <w:b/>
          <w:sz w:val="21"/>
        </w:rPr>
      </w:pPr>
    </w:p>
    <w:p w:rsidR="005E5B48" w:rsidRPr="003948BA" w:rsidRDefault="00814043">
      <w:pPr>
        <w:pStyle w:val="Heading5"/>
        <w:ind w:left="1280" w:firstLine="0"/>
        <w:jc w:val="both"/>
      </w:pPr>
      <w:r w:rsidRPr="003948BA">
        <w:t>Approval of the Securities and Exchange Commission of Pakistan</w:t>
      </w:r>
    </w:p>
    <w:p w:rsidR="005E5B48" w:rsidRPr="003948BA" w:rsidRDefault="005E5B48">
      <w:pPr>
        <w:pStyle w:val="BodyText"/>
        <w:spacing w:before="6"/>
        <w:rPr>
          <w:b/>
        </w:rPr>
      </w:pPr>
    </w:p>
    <w:p w:rsidR="005E5B48" w:rsidRPr="003948BA" w:rsidRDefault="00814043">
      <w:pPr>
        <w:pStyle w:val="BodyText"/>
        <w:ind w:left="1280" w:right="1004"/>
        <w:jc w:val="both"/>
      </w:pPr>
      <w:r w:rsidRPr="003948BA">
        <w:t xml:space="preserve">The Securities and Exchange Commission of Pakistan (SECP) has authorized the offer of Units of Allocation Plans under </w:t>
      </w:r>
      <w:r w:rsidRPr="003948BA">
        <w:rPr>
          <w:b/>
        </w:rPr>
        <w:t>Al-Ameen Islamic Financial Planning Fund-</w:t>
      </w:r>
      <w:r w:rsidR="00CA2698">
        <w:rPr>
          <w:b/>
        </w:rPr>
        <w:t>IV</w:t>
      </w:r>
      <w:r w:rsidR="00CA2698" w:rsidRPr="003948BA">
        <w:rPr>
          <w:b/>
        </w:rPr>
        <w:t xml:space="preserve"> </w:t>
      </w:r>
      <w:r w:rsidRPr="003948BA">
        <w:t>and registered (AIFPF-</w:t>
      </w:r>
      <w:r w:rsidR="00CA2698">
        <w:t>IV</w:t>
      </w:r>
      <w:r w:rsidRPr="003948BA">
        <w:t>) as a notified entity under the Non-Banking Finance Companies and Notified Entities Regulat</w:t>
      </w:r>
      <w:r w:rsidR="00016CEC" w:rsidRPr="003948BA">
        <w:t>ions 2008 (“Regulations”) vide L</w:t>
      </w:r>
      <w:r w:rsidRPr="003948BA">
        <w:t>e</w:t>
      </w:r>
      <w:r w:rsidR="00016CEC" w:rsidRPr="003948BA">
        <w:t xml:space="preserve">tter No </w:t>
      </w:r>
      <w:r w:rsidR="001F6E35">
        <w:t>SCD/AMCW/AAIIF/53/2019 dated 2</w:t>
      </w:r>
      <w:r w:rsidR="001F6E35" w:rsidRPr="00173787">
        <w:rPr>
          <w:vertAlign w:val="superscript"/>
        </w:rPr>
        <w:t>nd</w:t>
      </w:r>
      <w:r w:rsidR="001F6E35">
        <w:t xml:space="preserve"> Sep 2019</w:t>
      </w:r>
      <w:r w:rsidR="00B84555" w:rsidRPr="003948BA">
        <w:t xml:space="preserve">, </w:t>
      </w:r>
      <w:r w:rsidRPr="003948BA">
        <w:t xml:space="preserve">SECP has approved this Offering Document, under the Regulations vide Letter No </w:t>
      </w:r>
      <w:r w:rsidR="00173787" w:rsidRPr="00173787">
        <w:t xml:space="preserve">SCD/AMCW/AIFPF-IV/75/2019, </w:t>
      </w:r>
      <w:r w:rsidR="00016CEC" w:rsidRPr="00173787">
        <w:t xml:space="preserve">dated </w:t>
      </w:r>
      <w:r w:rsidR="00173787" w:rsidRPr="00173787">
        <w:t>26-09-2019.</w:t>
      </w:r>
    </w:p>
    <w:p w:rsidR="005E5B48" w:rsidRPr="003948BA" w:rsidRDefault="005E5B48">
      <w:pPr>
        <w:pStyle w:val="BodyText"/>
        <w:spacing w:before="10"/>
        <w:rPr>
          <w:sz w:val="19"/>
        </w:rPr>
      </w:pPr>
    </w:p>
    <w:p w:rsidR="005E5B48" w:rsidRPr="003948BA" w:rsidRDefault="00814043">
      <w:pPr>
        <w:pStyle w:val="Heading5"/>
        <w:ind w:left="1280" w:right="1008" w:firstLine="0"/>
        <w:jc w:val="both"/>
      </w:pPr>
      <w:r w:rsidRPr="003948BA">
        <w:t>It must be clearly understood that in giving this approval, SECP does not take any responsibility for the financial soundness of the Fund nor for the accuracy of any statement made or any opinion expressed in this Offering Document.</w:t>
      </w:r>
    </w:p>
    <w:p w:rsidR="005E5B48" w:rsidRPr="003948BA" w:rsidRDefault="005E5B48">
      <w:pPr>
        <w:pStyle w:val="BodyText"/>
        <w:spacing w:before="9"/>
        <w:rPr>
          <w:b/>
          <w:sz w:val="19"/>
        </w:rPr>
      </w:pPr>
    </w:p>
    <w:p w:rsidR="005E5B48" w:rsidRPr="003948BA" w:rsidRDefault="00814043">
      <w:pPr>
        <w:ind w:left="1280"/>
        <w:jc w:val="both"/>
        <w:rPr>
          <w:b/>
          <w:sz w:val="20"/>
        </w:rPr>
      </w:pPr>
      <w:r w:rsidRPr="003948BA">
        <w:rPr>
          <w:b/>
          <w:sz w:val="20"/>
        </w:rPr>
        <w:t>Offering Document</w:t>
      </w:r>
    </w:p>
    <w:p w:rsidR="005E5B48" w:rsidRPr="003948BA" w:rsidRDefault="005E5B48">
      <w:pPr>
        <w:pStyle w:val="BodyText"/>
        <w:spacing w:before="11"/>
        <w:rPr>
          <w:b/>
          <w:sz w:val="21"/>
        </w:rPr>
      </w:pPr>
    </w:p>
    <w:p w:rsidR="005E5B48" w:rsidRPr="003948BA" w:rsidRDefault="00814043">
      <w:pPr>
        <w:pStyle w:val="BodyText"/>
        <w:ind w:left="1280" w:right="1010"/>
        <w:jc w:val="both"/>
      </w:pPr>
      <w:r w:rsidRPr="003948BA">
        <w:t xml:space="preserve">This Offering Document sets out the arrangements covering the basic structure of the </w:t>
      </w:r>
      <w:r w:rsidRPr="003948BA">
        <w:rPr>
          <w:b/>
        </w:rPr>
        <w:t xml:space="preserve">Al- Ameen Islamic Financial Planning Fund - </w:t>
      </w:r>
      <w:r w:rsidR="00CA2698">
        <w:rPr>
          <w:b/>
        </w:rPr>
        <w:t>IV</w:t>
      </w:r>
      <w:r w:rsidR="00CA2698" w:rsidRPr="003948BA">
        <w:rPr>
          <w:b/>
        </w:rPr>
        <w:t xml:space="preserve"> </w:t>
      </w:r>
      <w:r w:rsidRPr="003948BA">
        <w:t>(the “Fund”, the “Scheme”). It sets forth information about the Fund and Allocation Plans that a prospective investor should know before investing in any class of Units. The provisions of the Trust Deed, the Rules, the Regulations, circulars, directives etc. as specified hereafter govern this Offering</w:t>
      </w:r>
      <w:r w:rsidRPr="003948BA">
        <w:rPr>
          <w:spacing w:val="-31"/>
        </w:rPr>
        <w:t xml:space="preserve"> </w:t>
      </w:r>
      <w:r w:rsidRPr="003948BA">
        <w:t>Document.</w:t>
      </w:r>
    </w:p>
    <w:p w:rsidR="005E5B48" w:rsidRPr="003948BA" w:rsidRDefault="005E5B48">
      <w:pPr>
        <w:pStyle w:val="BodyText"/>
        <w:spacing w:before="2"/>
      </w:pPr>
    </w:p>
    <w:p w:rsidR="005E5B48" w:rsidRPr="003948BA" w:rsidRDefault="00814043">
      <w:pPr>
        <w:pStyle w:val="BodyText"/>
        <w:ind w:left="1280" w:right="1016"/>
        <w:jc w:val="both"/>
      </w:pPr>
      <w:r w:rsidRPr="003948BA">
        <w:t>Prospective investors in their own interest are advised to carefully read this Offering Document to understand the Investment Policy, Risk Factors, Warning and Disclaimer. If the prospective investor has any doubt about the contents of this Offering Document, he/she/it should consult their investment advisers, legal advisers, bank managers, stockbrokers, or financial advisers to seek independent professional advice before investing.</w:t>
      </w:r>
    </w:p>
    <w:p w:rsidR="005E5B48" w:rsidRPr="003948BA" w:rsidRDefault="005E5B48">
      <w:pPr>
        <w:pStyle w:val="BodyText"/>
        <w:spacing w:before="4"/>
        <w:rPr>
          <w:sz w:val="21"/>
        </w:rPr>
      </w:pPr>
    </w:p>
    <w:p w:rsidR="005E5B48" w:rsidRPr="003948BA" w:rsidRDefault="00814043">
      <w:pPr>
        <w:pStyle w:val="Heading5"/>
        <w:ind w:left="1280" w:right="1017" w:firstLine="0"/>
        <w:jc w:val="both"/>
      </w:pPr>
      <w:r w:rsidRPr="003948BA">
        <w:t>Investors must recognize that the investments involve varying levels of risk. The portfolio of the Fund consists of investments, listed as well as unlisted that are subject to market fluctuations and such risks are inherent in all such investments. Neither the value of the Units in the Fund nor the dividend declared by the Fund is, or can be,</w:t>
      </w:r>
    </w:p>
    <w:p w:rsidR="005E5B48" w:rsidRPr="003948BA" w:rsidRDefault="005E5B48">
      <w:pPr>
        <w:jc w:val="both"/>
        <w:sectPr w:rsidR="005E5B48" w:rsidRPr="003948BA" w:rsidSect="008F4880">
          <w:pgSz w:w="11920" w:h="16850"/>
          <w:pgMar w:top="1020" w:right="340" w:bottom="980" w:left="880" w:header="450" w:footer="594" w:gutter="0"/>
          <w:cols w:space="720"/>
        </w:sectPr>
      </w:pPr>
    </w:p>
    <w:p w:rsidR="005E5B48" w:rsidRPr="003948BA" w:rsidRDefault="005E5B48">
      <w:pPr>
        <w:pStyle w:val="BodyText"/>
        <w:spacing w:before="2"/>
        <w:rPr>
          <w:b/>
          <w:sz w:val="19"/>
        </w:rPr>
      </w:pPr>
    </w:p>
    <w:p w:rsidR="005E5B48" w:rsidRPr="003948BA" w:rsidRDefault="00814043">
      <w:pPr>
        <w:spacing w:before="93"/>
        <w:ind w:left="1280" w:right="1020"/>
        <w:rPr>
          <w:b/>
          <w:sz w:val="20"/>
        </w:rPr>
      </w:pPr>
      <w:r w:rsidRPr="003948BA">
        <w:rPr>
          <w:b/>
          <w:sz w:val="20"/>
        </w:rPr>
        <w:t>assured. Investors are requested to read the Risk Disclosure and Warnings statement contained in Clause 2.10 and Clause 9 respectively in this Offering Document.</w:t>
      </w:r>
    </w:p>
    <w:p w:rsidR="005E5B48" w:rsidRPr="003948BA" w:rsidRDefault="005E5B48">
      <w:pPr>
        <w:pStyle w:val="BodyText"/>
        <w:spacing w:before="2"/>
        <w:rPr>
          <w:b/>
        </w:rPr>
      </w:pPr>
    </w:p>
    <w:p w:rsidR="005E5B48" w:rsidRPr="003948BA" w:rsidRDefault="00814043">
      <w:pPr>
        <w:ind w:left="1280" w:right="1014"/>
        <w:jc w:val="both"/>
        <w:rPr>
          <w:b/>
          <w:sz w:val="20"/>
        </w:rPr>
      </w:pPr>
      <w:r w:rsidRPr="003948BA">
        <w:rPr>
          <w:b/>
          <w:sz w:val="20"/>
        </w:rPr>
        <w:t>(All Investments of the Fund shall be in accordance to the Islamic Shariah. It is possible that adherence to the Islamic Shariah will cause the Fund to perform differently from Funds with similar objectives, but that are not subject to the requirements of Islamic Shariah)</w:t>
      </w:r>
    </w:p>
    <w:p w:rsidR="005E5B48" w:rsidRPr="003948BA" w:rsidRDefault="005E5B48">
      <w:pPr>
        <w:pStyle w:val="BodyText"/>
        <w:spacing w:before="2"/>
        <w:rPr>
          <w:b/>
        </w:rPr>
      </w:pPr>
    </w:p>
    <w:p w:rsidR="005E5B48" w:rsidRPr="003948BA" w:rsidRDefault="00814043">
      <w:pPr>
        <w:ind w:left="920"/>
        <w:rPr>
          <w:b/>
          <w:sz w:val="20"/>
        </w:rPr>
      </w:pPr>
      <w:r w:rsidRPr="003948BA">
        <w:rPr>
          <w:b/>
          <w:sz w:val="20"/>
        </w:rPr>
        <w:t>Filing of the Offering Document</w:t>
      </w:r>
    </w:p>
    <w:p w:rsidR="005E5B48" w:rsidRPr="003948BA" w:rsidRDefault="005E5B48">
      <w:pPr>
        <w:pStyle w:val="BodyText"/>
        <w:spacing w:before="4"/>
        <w:rPr>
          <w:b/>
          <w:sz w:val="22"/>
        </w:rPr>
      </w:pPr>
    </w:p>
    <w:p w:rsidR="005E5B48" w:rsidRPr="003948BA" w:rsidRDefault="00814043">
      <w:pPr>
        <w:pStyle w:val="BodyText"/>
        <w:ind w:left="1280" w:right="1011"/>
        <w:jc w:val="both"/>
      </w:pPr>
      <w:r w:rsidRPr="003948BA">
        <w:t>The Management Company has filed a copy of the Offering Document signed by the Chief Executive along with the Trust Deed with SECP. Copies of the following documents can be inspected at the registered office of the Management Company or the place of business of the Trustee:</w:t>
      </w:r>
    </w:p>
    <w:p w:rsidR="005E5B48" w:rsidRPr="003948BA" w:rsidRDefault="005E5B48">
      <w:pPr>
        <w:pStyle w:val="BodyText"/>
      </w:pPr>
    </w:p>
    <w:p w:rsidR="005E5B48" w:rsidRPr="003948BA" w:rsidRDefault="00814043" w:rsidP="00883092">
      <w:pPr>
        <w:pStyle w:val="ListParagraph"/>
        <w:numPr>
          <w:ilvl w:val="2"/>
          <w:numId w:val="40"/>
        </w:numPr>
        <w:tabs>
          <w:tab w:val="left" w:pos="1641"/>
          <w:tab w:val="left" w:pos="2921"/>
          <w:tab w:val="left" w:pos="3836"/>
          <w:tab w:val="left" w:pos="9369"/>
        </w:tabs>
        <w:spacing w:before="1"/>
        <w:ind w:right="1006"/>
        <w:rPr>
          <w:sz w:val="20"/>
        </w:rPr>
      </w:pPr>
      <w:r w:rsidRPr="003948BA">
        <w:rPr>
          <w:sz w:val="20"/>
        </w:rPr>
        <w:t>License</w:t>
      </w:r>
      <w:r w:rsidRPr="003948BA">
        <w:rPr>
          <w:sz w:val="20"/>
        </w:rPr>
        <w:tab/>
        <w:t>No.</w:t>
      </w:r>
      <w:r w:rsidR="004F3E83">
        <w:rPr>
          <w:sz w:val="20"/>
        </w:rPr>
        <w:t xml:space="preserve"> </w:t>
      </w:r>
      <w:r w:rsidR="00883092" w:rsidRPr="00883092">
        <w:rPr>
          <w:sz w:val="20"/>
        </w:rPr>
        <w:t>AMCW/13/UBLFML/AMS/06/2019 dated June 17, 2019</w:t>
      </w:r>
      <w:r w:rsidRPr="003948BA">
        <w:rPr>
          <w:sz w:val="20"/>
        </w:rPr>
        <w:tab/>
        <w:t>&amp; License</w:t>
      </w:r>
      <w:r w:rsidRPr="003948BA">
        <w:rPr>
          <w:sz w:val="20"/>
        </w:rPr>
        <w:tab/>
        <w:t xml:space="preserve">No. SCD/AMCW/UBLFM/12/2016 dated July 15, 2016 granted by SECP to </w:t>
      </w:r>
      <w:r w:rsidRPr="004F3E83">
        <w:rPr>
          <w:sz w:val="20"/>
        </w:rPr>
        <w:t>UBL Fund Managers</w:t>
      </w:r>
      <w:r w:rsidRPr="003948BA">
        <w:rPr>
          <w:b/>
          <w:sz w:val="20"/>
        </w:rPr>
        <w:t xml:space="preserve"> </w:t>
      </w:r>
      <w:r w:rsidRPr="003948BA">
        <w:rPr>
          <w:sz w:val="20"/>
        </w:rPr>
        <w:t>to carry out Asset Management and Investment Advisory Services, respectively;</w:t>
      </w:r>
    </w:p>
    <w:p w:rsidR="005E5B48" w:rsidRPr="003948BA" w:rsidRDefault="005E5B48">
      <w:pPr>
        <w:pStyle w:val="BodyText"/>
        <w:spacing w:before="11"/>
        <w:rPr>
          <w:sz w:val="19"/>
        </w:rPr>
      </w:pPr>
    </w:p>
    <w:p w:rsidR="005E5B48" w:rsidRPr="003948BA" w:rsidRDefault="00814043" w:rsidP="00A002A6">
      <w:pPr>
        <w:pStyle w:val="ListParagraph"/>
        <w:numPr>
          <w:ilvl w:val="2"/>
          <w:numId w:val="40"/>
        </w:numPr>
        <w:tabs>
          <w:tab w:val="left" w:pos="1641"/>
        </w:tabs>
        <w:ind w:right="1012"/>
        <w:rPr>
          <w:sz w:val="20"/>
        </w:rPr>
      </w:pPr>
      <w:r w:rsidRPr="003948BA">
        <w:rPr>
          <w:sz w:val="20"/>
        </w:rPr>
        <w:t>SECP‟s Letter No. SCD/AMCW</w:t>
      </w:r>
      <w:r w:rsidR="00337A15" w:rsidRPr="003948BA">
        <w:rPr>
          <w:sz w:val="20"/>
        </w:rPr>
        <w:t>/AIFPF-</w:t>
      </w:r>
      <w:r w:rsidR="00531980">
        <w:rPr>
          <w:sz w:val="20"/>
        </w:rPr>
        <w:t>IV</w:t>
      </w:r>
      <w:r w:rsidR="00337A15" w:rsidRPr="003948BA">
        <w:rPr>
          <w:sz w:val="20"/>
        </w:rPr>
        <w:t>/</w:t>
      </w:r>
      <w:r w:rsidR="00531980">
        <w:rPr>
          <w:sz w:val="20"/>
        </w:rPr>
        <w:t>81</w:t>
      </w:r>
      <w:r w:rsidR="00337A15" w:rsidRPr="003948BA">
        <w:rPr>
          <w:sz w:val="20"/>
        </w:rPr>
        <w:t xml:space="preserve">/2018 dated </w:t>
      </w:r>
      <w:r w:rsidR="00531980">
        <w:rPr>
          <w:sz w:val="20"/>
        </w:rPr>
        <w:t>05</w:t>
      </w:r>
      <w:r w:rsidR="004F3E83" w:rsidRPr="004F3E83">
        <w:rPr>
          <w:sz w:val="20"/>
          <w:vertAlign w:val="superscript"/>
        </w:rPr>
        <w:t>th</w:t>
      </w:r>
      <w:r w:rsidR="004F3E83">
        <w:rPr>
          <w:sz w:val="20"/>
        </w:rPr>
        <w:t xml:space="preserve"> Sep 2018</w:t>
      </w:r>
      <w:r w:rsidRPr="003948BA">
        <w:rPr>
          <w:sz w:val="20"/>
        </w:rPr>
        <w:t xml:space="preserve"> approving the appointment of CDC as the Trustee of the</w:t>
      </w:r>
      <w:r w:rsidRPr="003948BA">
        <w:rPr>
          <w:spacing w:val="-12"/>
          <w:sz w:val="20"/>
        </w:rPr>
        <w:t xml:space="preserve"> </w:t>
      </w:r>
      <w:r w:rsidRPr="003948BA">
        <w:rPr>
          <w:sz w:val="20"/>
        </w:rPr>
        <w:t>Fund;</w:t>
      </w:r>
    </w:p>
    <w:p w:rsidR="005E5B48" w:rsidRPr="003948BA" w:rsidRDefault="005E5B48">
      <w:pPr>
        <w:pStyle w:val="BodyText"/>
        <w:spacing w:before="1"/>
      </w:pPr>
    </w:p>
    <w:p w:rsidR="005E5B48" w:rsidRPr="003948BA" w:rsidRDefault="00814043" w:rsidP="00A002A6">
      <w:pPr>
        <w:pStyle w:val="ListParagraph"/>
        <w:numPr>
          <w:ilvl w:val="2"/>
          <w:numId w:val="40"/>
        </w:numPr>
        <w:tabs>
          <w:tab w:val="left" w:pos="1641"/>
        </w:tabs>
        <w:rPr>
          <w:sz w:val="20"/>
        </w:rPr>
      </w:pPr>
      <w:r w:rsidRPr="003948BA">
        <w:rPr>
          <w:sz w:val="20"/>
        </w:rPr>
        <w:t>Trust Deed (the Deed) of the</w:t>
      </w:r>
      <w:r w:rsidRPr="003948BA">
        <w:rPr>
          <w:spacing w:val="-10"/>
          <w:sz w:val="20"/>
        </w:rPr>
        <w:t xml:space="preserve"> </w:t>
      </w:r>
      <w:r w:rsidRPr="003948BA">
        <w:rPr>
          <w:sz w:val="20"/>
        </w:rPr>
        <w:t>Fund;</w:t>
      </w:r>
    </w:p>
    <w:p w:rsidR="005E5B48" w:rsidRPr="003948BA" w:rsidRDefault="005E5B48">
      <w:pPr>
        <w:pStyle w:val="BodyText"/>
        <w:rPr>
          <w:sz w:val="22"/>
        </w:rPr>
      </w:pPr>
    </w:p>
    <w:p w:rsidR="005E5B48" w:rsidRPr="003948BA" w:rsidRDefault="005E5B48">
      <w:pPr>
        <w:pStyle w:val="BodyText"/>
        <w:spacing w:before="8"/>
        <w:rPr>
          <w:sz w:val="17"/>
        </w:rPr>
      </w:pPr>
    </w:p>
    <w:p w:rsidR="005E5B48" w:rsidRPr="003948BA" w:rsidRDefault="00814043" w:rsidP="004F3E83">
      <w:pPr>
        <w:pStyle w:val="ListParagraph"/>
        <w:numPr>
          <w:ilvl w:val="2"/>
          <w:numId w:val="40"/>
        </w:numPr>
        <w:tabs>
          <w:tab w:val="left" w:pos="1641"/>
        </w:tabs>
        <w:ind w:right="1014"/>
        <w:rPr>
          <w:sz w:val="20"/>
        </w:rPr>
      </w:pPr>
      <w:r w:rsidRPr="003948BA">
        <w:rPr>
          <w:sz w:val="20"/>
        </w:rPr>
        <w:t xml:space="preserve">SECP‟s Letter No. </w:t>
      </w:r>
      <w:r w:rsidR="00883092">
        <w:t>SCD/AMCW/AAIIF/53/2019 dated 2</w:t>
      </w:r>
      <w:r w:rsidR="00883092" w:rsidRPr="00962CD9">
        <w:rPr>
          <w:vertAlign w:val="superscript"/>
        </w:rPr>
        <w:t>nd</w:t>
      </w:r>
      <w:r w:rsidR="00883092">
        <w:t xml:space="preserve"> Sep 2019</w:t>
      </w:r>
      <w:r w:rsidRPr="003948BA">
        <w:rPr>
          <w:sz w:val="20"/>
        </w:rPr>
        <w:t xml:space="preserve"> registering the Fund in terms of Regulation 44 of the NBFC and Notified Entities Regulations</w:t>
      </w:r>
      <w:r w:rsidRPr="003948BA">
        <w:rPr>
          <w:spacing w:val="-27"/>
          <w:sz w:val="20"/>
        </w:rPr>
        <w:t xml:space="preserve"> </w:t>
      </w:r>
      <w:r w:rsidRPr="003948BA">
        <w:rPr>
          <w:sz w:val="20"/>
        </w:rPr>
        <w:t>2008;</w:t>
      </w:r>
    </w:p>
    <w:p w:rsidR="005E5B48" w:rsidRPr="003948BA" w:rsidRDefault="005E5B48">
      <w:pPr>
        <w:pStyle w:val="BodyText"/>
        <w:spacing w:before="4"/>
      </w:pPr>
    </w:p>
    <w:p w:rsidR="005E5B48" w:rsidRPr="003948BA" w:rsidRDefault="00814043" w:rsidP="00A002A6">
      <w:pPr>
        <w:pStyle w:val="ListParagraph"/>
        <w:numPr>
          <w:ilvl w:val="2"/>
          <w:numId w:val="40"/>
        </w:numPr>
        <w:tabs>
          <w:tab w:val="left" w:pos="1641"/>
        </w:tabs>
        <w:ind w:right="1017"/>
        <w:rPr>
          <w:sz w:val="20"/>
        </w:rPr>
      </w:pPr>
      <w:r w:rsidRPr="003948BA">
        <w:rPr>
          <w:sz w:val="20"/>
        </w:rPr>
        <w:t xml:space="preserve">Letters from </w:t>
      </w:r>
      <w:r w:rsidR="00531980">
        <w:rPr>
          <w:sz w:val="20"/>
        </w:rPr>
        <w:t>EY Ford Rhodes</w:t>
      </w:r>
      <w:r w:rsidRPr="003948BA">
        <w:rPr>
          <w:sz w:val="20"/>
        </w:rPr>
        <w:t>. Auditors of the Fund , consenting to the issue of statements and</w:t>
      </w:r>
      <w:r w:rsidRPr="003948BA">
        <w:rPr>
          <w:spacing w:val="-21"/>
          <w:sz w:val="20"/>
        </w:rPr>
        <w:t xml:space="preserve"> </w:t>
      </w:r>
      <w:r w:rsidRPr="003948BA">
        <w:rPr>
          <w:sz w:val="20"/>
        </w:rPr>
        <w:t>reports;</w:t>
      </w:r>
    </w:p>
    <w:p w:rsidR="005E5B48" w:rsidRPr="003948BA" w:rsidRDefault="005E5B48">
      <w:pPr>
        <w:pStyle w:val="BodyText"/>
        <w:spacing w:before="8"/>
        <w:rPr>
          <w:sz w:val="19"/>
        </w:rPr>
      </w:pPr>
    </w:p>
    <w:p w:rsidR="005E5B48" w:rsidRPr="003948BA" w:rsidRDefault="00814043" w:rsidP="00A002A6">
      <w:pPr>
        <w:pStyle w:val="ListParagraph"/>
        <w:numPr>
          <w:ilvl w:val="2"/>
          <w:numId w:val="40"/>
        </w:numPr>
        <w:tabs>
          <w:tab w:val="left" w:pos="1641"/>
        </w:tabs>
        <w:spacing w:line="242" w:lineRule="auto"/>
        <w:ind w:right="1006"/>
        <w:jc w:val="both"/>
        <w:rPr>
          <w:sz w:val="20"/>
        </w:rPr>
      </w:pPr>
      <w:r w:rsidRPr="003948BA">
        <w:rPr>
          <w:sz w:val="20"/>
        </w:rPr>
        <w:t xml:space="preserve">Letter from </w:t>
      </w:r>
      <w:r w:rsidRPr="003948BA">
        <w:rPr>
          <w:b/>
          <w:sz w:val="20"/>
        </w:rPr>
        <w:t xml:space="preserve">Muhammad Hassaan Kaleem &amp; Muhammad Najeeb Khan, </w:t>
      </w:r>
      <w:r w:rsidRPr="003948BA">
        <w:rPr>
          <w:sz w:val="20"/>
        </w:rPr>
        <w:t>Shariah Advisers of the Fund, consenting to act as Shariah advisers of the Al- Ameen Islamic Financial Planning Fund</w:t>
      </w:r>
      <w:r w:rsidR="00016CEC" w:rsidRPr="003948BA">
        <w:rPr>
          <w:sz w:val="20"/>
        </w:rPr>
        <w:t>-III</w:t>
      </w:r>
      <w:r w:rsidRPr="003948BA">
        <w:rPr>
          <w:sz w:val="20"/>
        </w:rPr>
        <w:t>, and consenting on the contents of the Offering</w:t>
      </w:r>
      <w:r w:rsidRPr="003948BA">
        <w:rPr>
          <w:spacing w:val="-6"/>
          <w:sz w:val="20"/>
        </w:rPr>
        <w:t xml:space="preserve"> </w:t>
      </w:r>
      <w:r w:rsidRPr="003948BA">
        <w:rPr>
          <w:sz w:val="20"/>
        </w:rPr>
        <w:t>Document;</w:t>
      </w:r>
    </w:p>
    <w:p w:rsidR="005E5B48" w:rsidRPr="003948BA" w:rsidRDefault="005E5B48">
      <w:pPr>
        <w:pStyle w:val="BodyText"/>
        <w:spacing w:before="8"/>
        <w:rPr>
          <w:sz w:val="19"/>
        </w:rPr>
      </w:pPr>
    </w:p>
    <w:p w:rsidR="005E5B48" w:rsidRPr="003948BA" w:rsidRDefault="00814043" w:rsidP="00A002A6">
      <w:pPr>
        <w:pStyle w:val="ListParagraph"/>
        <w:numPr>
          <w:ilvl w:val="2"/>
          <w:numId w:val="40"/>
        </w:numPr>
        <w:tabs>
          <w:tab w:val="left" w:pos="1641"/>
        </w:tabs>
        <w:spacing w:before="1"/>
        <w:ind w:right="467"/>
        <w:rPr>
          <w:sz w:val="20"/>
        </w:rPr>
      </w:pPr>
      <w:r w:rsidRPr="003948BA">
        <w:rPr>
          <w:sz w:val="20"/>
        </w:rPr>
        <w:t>SECP‟s</w:t>
      </w:r>
      <w:r w:rsidRPr="003948BA">
        <w:rPr>
          <w:spacing w:val="-4"/>
          <w:sz w:val="20"/>
        </w:rPr>
        <w:t xml:space="preserve"> </w:t>
      </w:r>
      <w:r w:rsidRPr="003948BA">
        <w:rPr>
          <w:sz w:val="20"/>
        </w:rPr>
        <w:t>letter</w:t>
      </w:r>
      <w:r w:rsidRPr="003948BA">
        <w:rPr>
          <w:spacing w:val="-7"/>
          <w:sz w:val="20"/>
        </w:rPr>
        <w:t xml:space="preserve"> </w:t>
      </w:r>
      <w:r w:rsidRPr="003948BA">
        <w:rPr>
          <w:sz w:val="20"/>
        </w:rPr>
        <w:t>No.</w:t>
      </w:r>
      <w:r w:rsidR="003948BA" w:rsidRPr="003948BA">
        <w:t xml:space="preserve"> </w:t>
      </w:r>
      <w:r w:rsidR="00173787" w:rsidRPr="00173787">
        <w:t>SCD/AMCW/AIFPF-IV/75/2019, dated 26-09-2019</w:t>
      </w:r>
      <w:r w:rsidRPr="003948BA">
        <w:rPr>
          <w:spacing w:val="-7"/>
          <w:sz w:val="20"/>
        </w:rPr>
        <w:t xml:space="preserve"> </w:t>
      </w:r>
      <w:r w:rsidRPr="003948BA">
        <w:rPr>
          <w:sz w:val="20"/>
        </w:rPr>
        <w:t>approving</w:t>
      </w:r>
      <w:r w:rsidRPr="003948BA">
        <w:rPr>
          <w:spacing w:val="-7"/>
          <w:sz w:val="20"/>
        </w:rPr>
        <w:t xml:space="preserve"> </w:t>
      </w:r>
      <w:r w:rsidRPr="003948BA">
        <w:rPr>
          <w:sz w:val="20"/>
        </w:rPr>
        <w:t>this</w:t>
      </w:r>
      <w:r w:rsidRPr="003948BA">
        <w:rPr>
          <w:spacing w:val="-6"/>
          <w:sz w:val="20"/>
        </w:rPr>
        <w:t xml:space="preserve"> </w:t>
      </w:r>
      <w:r w:rsidRPr="003948BA">
        <w:rPr>
          <w:sz w:val="20"/>
        </w:rPr>
        <w:t>Offering Document.</w:t>
      </w:r>
    </w:p>
    <w:p w:rsidR="005E5B48" w:rsidRPr="003948BA" w:rsidRDefault="005E5B48">
      <w:pPr>
        <w:pStyle w:val="BodyText"/>
        <w:rPr>
          <w:sz w:val="22"/>
        </w:rPr>
      </w:pPr>
    </w:p>
    <w:p w:rsidR="005E5B48" w:rsidRPr="003948BA" w:rsidRDefault="005E5B48">
      <w:pPr>
        <w:pStyle w:val="BodyText"/>
        <w:spacing w:before="2"/>
      </w:pPr>
    </w:p>
    <w:p w:rsidR="005E5B48" w:rsidRPr="003948BA" w:rsidRDefault="00814043" w:rsidP="00A002A6">
      <w:pPr>
        <w:pStyle w:val="Heading5"/>
        <w:numPr>
          <w:ilvl w:val="0"/>
          <w:numId w:val="39"/>
        </w:numPr>
        <w:tabs>
          <w:tab w:val="left" w:pos="1712"/>
          <w:tab w:val="left" w:pos="1713"/>
        </w:tabs>
        <w:jc w:val="left"/>
      </w:pPr>
      <w:bookmarkStart w:id="1" w:name="_bookmark0"/>
      <w:bookmarkEnd w:id="1"/>
      <w:r w:rsidRPr="003948BA">
        <w:t>CONSTITUTION OF THE</w:t>
      </w:r>
      <w:r w:rsidRPr="003948BA">
        <w:rPr>
          <w:spacing w:val="-12"/>
        </w:rPr>
        <w:t xml:space="preserve"> </w:t>
      </w:r>
      <w:r w:rsidRPr="003948BA">
        <w:t>SCHEME</w:t>
      </w:r>
    </w:p>
    <w:p w:rsidR="005E5B48" w:rsidRPr="003948BA" w:rsidRDefault="005E5B48">
      <w:pPr>
        <w:pStyle w:val="BodyText"/>
        <w:rPr>
          <w:b/>
          <w:sz w:val="22"/>
        </w:rPr>
      </w:pPr>
    </w:p>
    <w:p w:rsidR="005E5B48" w:rsidRPr="003948BA" w:rsidRDefault="00814043" w:rsidP="00A002A6">
      <w:pPr>
        <w:pStyle w:val="ListParagraph"/>
        <w:numPr>
          <w:ilvl w:val="1"/>
          <w:numId w:val="39"/>
        </w:numPr>
        <w:tabs>
          <w:tab w:val="left" w:pos="2000"/>
          <w:tab w:val="left" w:pos="2001"/>
        </w:tabs>
        <w:ind w:left="2000"/>
        <w:rPr>
          <w:b/>
          <w:sz w:val="20"/>
        </w:rPr>
      </w:pPr>
      <w:bookmarkStart w:id="2" w:name="_bookmark1"/>
      <w:bookmarkEnd w:id="2"/>
      <w:r w:rsidRPr="003948BA">
        <w:rPr>
          <w:b/>
          <w:sz w:val="20"/>
        </w:rPr>
        <w:t>Constitution</w:t>
      </w:r>
    </w:p>
    <w:p w:rsidR="005E5B48" w:rsidRPr="003948BA" w:rsidRDefault="00814043">
      <w:pPr>
        <w:pStyle w:val="BodyText"/>
        <w:spacing w:before="61"/>
        <w:ind w:left="2000" w:right="1022"/>
        <w:jc w:val="both"/>
      </w:pPr>
      <w:r w:rsidRPr="003948BA">
        <w:t xml:space="preserve">The Fund is an open-end Fund and has been constituted by a Trust Deed entered into at Karachi on </w:t>
      </w:r>
      <w:r w:rsidR="00531980">
        <w:rPr>
          <w:b/>
        </w:rPr>
        <w:t>10-09</w:t>
      </w:r>
      <w:r w:rsidR="0049106D" w:rsidRPr="003948BA">
        <w:rPr>
          <w:b/>
        </w:rPr>
        <w:t>-2018</w:t>
      </w:r>
      <w:r w:rsidRPr="003948BA">
        <w:rPr>
          <w:b/>
        </w:rPr>
        <w:t xml:space="preserve"> </w:t>
      </w:r>
      <w:r w:rsidRPr="003948BA">
        <w:t>between:</w:t>
      </w:r>
    </w:p>
    <w:p w:rsidR="005E5B48" w:rsidRPr="003948BA" w:rsidRDefault="005E5B48">
      <w:pPr>
        <w:pStyle w:val="BodyText"/>
        <w:spacing w:before="10"/>
        <w:rPr>
          <w:sz w:val="19"/>
        </w:rPr>
      </w:pPr>
    </w:p>
    <w:p w:rsidR="005E5B48" w:rsidRPr="003948BA" w:rsidRDefault="00814043">
      <w:pPr>
        <w:pStyle w:val="BodyText"/>
        <w:ind w:left="2000" w:right="1009"/>
        <w:jc w:val="both"/>
      </w:pPr>
      <w:r w:rsidRPr="003948BA">
        <w:rPr>
          <w:b/>
        </w:rPr>
        <w:t xml:space="preserve">UBL Fund Managers Limited, </w:t>
      </w:r>
      <w:r w:rsidRPr="003948BA">
        <w:t xml:space="preserve">a Non-Banking Finance Company incorporated under the Companies Ordinance 1984 and licensed by SECP to undertake asset management services, with its principal place of business at </w:t>
      </w:r>
      <w:r w:rsidR="0049106D" w:rsidRPr="003948BA">
        <w:t>4th Floor, STSM Building, Beaumont Road, Civil Lines Karachi</w:t>
      </w:r>
      <w:r w:rsidRPr="003948BA">
        <w:t>, as  the Management Company;  and</w:t>
      </w:r>
    </w:p>
    <w:p w:rsidR="005E5B48" w:rsidRPr="003948BA" w:rsidRDefault="005E5B48">
      <w:pPr>
        <w:pStyle w:val="BodyText"/>
      </w:pPr>
    </w:p>
    <w:p w:rsidR="005E5B48" w:rsidRPr="003948BA" w:rsidRDefault="00814043">
      <w:pPr>
        <w:pStyle w:val="BodyText"/>
        <w:spacing w:before="1"/>
        <w:ind w:left="2000" w:right="1012"/>
        <w:jc w:val="both"/>
      </w:pPr>
      <w:r w:rsidRPr="003948BA">
        <w:rPr>
          <w:b/>
        </w:rPr>
        <w:t>Central Depository Company of Pakistan Limited</w:t>
      </w:r>
      <w:r w:rsidRPr="003948BA">
        <w:rPr>
          <w:b/>
          <w:sz w:val="22"/>
        </w:rPr>
        <w:t xml:space="preserve">, </w:t>
      </w:r>
      <w:r w:rsidR="0049106D" w:rsidRPr="003948BA">
        <w:t>a public limited company incorporated in Pakistan under the Companies Ordinance</w:t>
      </w:r>
      <w:r w:rsidR="004C174A" w:rsidRPr="003948BA">
        <w:t xml:space="preserve"> 1984 and registered with the Securities &amp; Exchange Commission of Pakistan as a central depository company</w:t>
      </w:r>
      <w:r w:rsidR="0049106D" w:rsidRPr="003948BA">
        <w:t xml:space="preserve">, having its registered office at CDC House, 99-B, </w:t>
      </w:r>
      <w:r w:rsidR="004C174A" w:rsidRPr="003948BA">
        <w:t xml:space="preserve">Block ‘B’ </w:t>
      </w:r>
      <w:r w:rsidR="0049106D" w:rsidRPr="003948BA">
        <w:t xml:space="preserve">S.M.C.H.S., Main </w:t>
      </w:r>
      <w:proofErr w:type="spellStart"/>
      <w:r w:rsidR="0049106D" w:rsidRPr="003948BA">
        <w:t>Shahra</w:t>
      </w:r>
      <w:proofErr w:type="spellEnd"/>
      <w:r w:rsidR="0049106D" w:rsidRPr="003948BA">
        <w:t>-e-Faisal, Karachi</w:t>
      </w:r>
      <w:r w:rsidRPr="003948BA">
        <w:t>, Pakistan as the trustee.</w:t>
      </w:r>
    </w:p>
    <w:p w:rsidR="005E5B48" w:rsidRPr="003948BA" w:rsidRDefault="005E5B48">
      <w:pPr>
        <w:pStyle w:val="BodyText"/>
        <w:rPr>
          <w:sz w:val="22"/>
        </w:rPr>
      </w:pPr>
    </w:p>
    <w:p w:rsidR="005E5B48" w:rsidRPr="003948BA" w:rsidRDefault="00814043" w:rsidP="00A002A6">
      <w:pPr>
        <w:pStyle w:val="Heading5"/>
        <w:numPr>
          <w:ilvl w:val="1"/>
          <w:numId w:val="39"/>
        </w:numPr>
        <w:tabs>
          <w:tab w:val="left" w:pos="2000"/>
          <w:tab w:val="left" w:pos="2001"/>
        </w:tabs>
        <w:spacing w:before="138"/>
        <w:ind w:left="2000"/>
      </w:pPr>
      <w:bookmarkStart w:id="3" w:name="_bookmark2"/>
      <w:bookmarkEnd w:id="3"/>
      <w:r w:rsidRPr="003948BA">
        <w:t>Trust Deed (the</w:t>
      </w:r>
      <w:r w:rsidRPr="003948BA">
        <w:rPr>
          <w:spacing w:val="-10"/>
        </w:rPr>
        <w:t xml:space="preserve"> </w:t>
      </w:r>
      <w:r w:rsidRPr="003948BA">
        <w:t>“Deed”)</w:t>
      </w:r>
    </w:p>
    <w:p w:rsidR="005E5B48" w:rsidRPr="003948BA" w:rsidRDefault="00814043">
      <w:pPr>
        <w:pStyle w:val="BodyText"/>
        <w:spacing w:before="68"/>
        <w:ind w:left="2000"/>
        <w:jc w:val="both"/>
      </w:pPr>
      <w:r w:rsidRPr="003948BA">
        <w:t>The Deed is subject to and governed by the Non-Banking Finance Companies</w:t>
      </w:r>
    </w:p>
    <w:p w:rsidR="005E5B48" w:rsidRPr="003948BA" w:rsidRDefault="005E5B48">
      <w:pPr>
        <w:jc w:val="both"/>
        <w:sectPr w:rsidR="005E5B48" w:rsidRPr="003948BA">
          <w:pgSz w:w="11920" w:h="16850"/>
          <w:pgMar w:top="1020" w:right="340" w:bottom="940" w:left="880" w:header="722" w:footer="594" w:gutter="0"/>
          <w:cols w:space="720"/>
        </w:sectPr>
      </w:pPr>
    </w:p>
    <w:p w:rsidR="005E5B48" w:rsidRPr="003948BA" w:rsidRDefault="00814043">
      <w:pPr>
        <w:pStyle w:val="BodyText"/>
        <w:ind w:left="2000" w:right="1008"/>
        <w:jc w:val="both"/>
      </w:pPr>
      <w:r w:rsidRPr="003948BA">
        <w:lastRenderedPageBreak/>
        <w:t>(Establishment and Regulations) Rules, 2003 and Non-Banking Finance Companies and Notified Entities Regulations, 2008, Securities and Exchange Ordinance 1969, Companies Ordinance 1984 and all other applicable laws and regulations. The terms and conditions in the Deed and any supplemental deed(s) shall be binding on each Unit Holder. In the event of any conflict between the Offering Document and the Deed the latter shall supersede and prevail over the provisions contained in this Offering Document. In the event of any conflict between the Deed and the Rules or Regulations and Circulars issued by SECP, the latter shall supersede and prevail over the provisions contained in the</w:t>
      </w:r>
      <w:r w:rsidRPr="003948BA">
        <w:rPr>
          <w:spacing w:val="-2"/>
        </w:rPr>
        <w:t xml:space="preserve"> </w:t>
      </w:r>
      <w:r w:rsidRPr="003948BA">
        <w:t>Deed.</w:t>
      </w:r>
    </w:p>
    <w:p w:rsidR="005E5B48" w:rsidRPr="003948BA" w:rsidRDefault="005E5B48">
      <w:pPr>
        <w:pStyle w:val="BodyText"/>
        <w:spacing w:before="10"/>
        <w:rPr>
          <w:sz w:val="18"/>
        </w:rPr>
      </w:pPr>
    </w:p>
    <w:p w:rsidR="005E5B48" w:rsidRPr="003948BA" w:rsidRDefault="00814043">
      <w:pPr>
        <w:ind w:left="2000" w:right="1013"/>
        <w:jc w:val="both"/>
        <w:rPr>
          <w:i/>
          <w:sz w:val="20"/>
        </w:rPr>
      </w:pPr>
      <w:r w:rsidRPr="003948BA">
        <w:rPr>
          <w:i/>
          <w:sz w:val="20"/>
        </w:rPr>
        <w:t>(Furthermore, all Investments of the Fund Property shall be in accordance with the Islamic Shariah as advised by the Shariah Advisor. The Fund shall also be subject to the rules and the regulations framed by the State Bank of Pakistan with regard to the foreign investments made by the Fund and investments made in the Fund from  outside Pakistan in foreign</w:t>
      </w:r>
      <w:r w:rsidRPr="003948BA">
        <w:rPr>
          <w:i/>
          <w:spacing w:val="-3"/>
          <w:sz w:val="20"/>
        </w:rPr>
        <w:t xml:space="preserve"> </w:t>
      </w:r>
      <w:r w:rsidR="00016CEC" w:rsidRPr="003948BA">
        <w:rPr>
          <w:i/>
          <w:sz w:val="20"/>
        </w:rPr>
        <w:t>currency</w:t>
      </w:r>
      <w:r w:rsidRPr="003948BA">
        <w:rPr>
          <w:i/>
          <w:sz w:val="20"/>
        </w:rPr>
        <w:t>)</w:t>
      </w:r>
      <w:r w:rsidR="00016CEC" w:rsidRPr="003948BA">
        <w:rPr>
          <w:i/>
          <w:sz w:val="20"/>
        </w:rPr>
        <w:t>.</w:t>
      </w:r>
    </w:p>
    <w:p w:rsidR="005E5B48" w:rsidRPr="003948BA" w:rsidRDefault="005E5B48">
      <w:pPr>
        <w:pStyle w:val="BodyText"/>
        <w:spacing w:before="5"/>
        <w:rPr>
          <w:i/>
          <w:sz w:val="32"/>
        </w:rPr>
      </w:pPr>
    </w:p>
    <w:p w:rsidR="005E5B48" w:rsidRPr="003948BA" w:rsidRDefault="00814043" w:rsidP="00A002A6">
      <w:pPr>
        <w:pStyle w:val="Heading5"/>
        <w:numPr>
          <w:ilvl w:val="1"/>
          <w:numId w:val="39"/>
        </w:numPr>
        <w:tabs>
          <w:tab w:val="left" w:pos="2000"/>
          <w:tab w:val="left" w:pos="2001"/>
        </w:tabs>
        <w:ind w:left="2000"/>
      </w:pPr>
      <w:bookmarkStart w:id="4" w:name="_bookmark3"/>
      <w:bookmarkEnd w:id="4"/>
      <w:r w:rsidRPr="003948BA">
        <w:t>Modification of Trust</w:t>
      </w:r>
      <w:r w:rsidRPr="003948BA">
        <w:rPr>
          <w:spacing w:val="-5"/>
        </w:rPr>
        <w:t xml:space="preserve"> </w:t>
      </w:r>
      <w:r w:rsidRPr="003948BA">
        <w:t>Deed</w:t>
      </w:r>
    </w:p>
    <w:p w:rsidR="005E5B48" w:rsidRPr="003948BA" w:rsidRDefault="00814043">
      <w:pPr>
        <w:pStyle w:val="BodyText"/>
        <w:spacing w:before="67"/>
        <w:ind w:left="2000" w:right="1013"/>
        <w:jc w:val="both"/>
      </w:pPr>
      <w:r w:rsidRPr="003948BA">
        <w:t>The Trustee and the Management Company, acting together and with the</w:t>
      </w:r>
      <w:r w:rsidR="00CB587F" w:rsidRPr="003948BA">
        <w:t xml:space="preserve"> approval of SECP and the Sharia</w:t>
      </w:r>
      <w:r w:rsidRPr="003948BA">
        <w:t>h Advisor, shall be entitled by supplemental deed(s) to modify, alter or add to the provisions of the Deed to such extent as may be required to ensure compliance with any applicable laws, Rules and Regulations.</w:t>
      </w:r>
    </w:p>
    <w:p w:rsidR="005E5B48" w:rsidRPr="003948BA" w:rsidRDefault="005E5B48">
      <w:pPr>
        <w:pStyle w:val="BodyText"/>
      </w:pPr>
    </w:p>
    <w:p w:rsidR="005E5B48" w:rsidRPr="003948BA" w:rsidRDefault="00814043">
      <w:pPr>
        <w:pStyle w:val="BodyText"/>
        <w:ind w:left="2000" w:right="1021"/>
        <w:jc w:val="both"/>
      </w:pPr>
      <w:r w:rsidRPr="003948BA">
        <w:t>Where the Deed has been altered or supplemented, the Management Company shall duly notify to the Unit Holders and posted on their official website.</w:t>
      </w:r>
    </w:p>
    <w:p w:rsidR="005E5B48" w:rsidRPr="003948BA" w:rsidRDefault="005E5B48">
      <w:pPr>
        <w:pStyle w:val="BodyText"/>
        <w:spacing w:before="10"/>
        <w:rPr>
          <w:sz w:val="29"/>
        </w:rPr>
      </w:pPr>
    </w:p>
    <w:p w:rsidR="005E5B48" w:rsidRPr="003948BA" w:rsidRDefault="00814043" w:rsidP="00A002A6">
      <w:pPr>
        <w:pStyle w:val="Heading5"/>
        <w:numPr>
          <w:ilvl w:val="1"/>
          <w:numId w:val="39"/>
        </w:numPr>
        <w:tabs>
          <w:tab w:val="left" w:pos="2000"/>
          <w:tab w:val="left" w:pos="2001"/>
        </w:tabs>
        <w:spacing w:before="1"/>
        <w:ind w:left="2000"/>
      </w:pPr>
      <w:bookmarkStart w:id="5" w:name="_bookmark4"/>
      <w:bookmarkEnd w:id="5"/>
      <w:r w:rsidRPr="003948BA">
        <w:t>Trust</w:t>
      </w:r>
      <w:r w:rsidRPr="003948BA">
        <w:rPr>
          <w:spacing w:val="-6"/>
        </w:rPr>
        <w:t xml:space="preserve"> </w:t>
      </w:r>
      <w:r w:rsidR="007136AD" w:rsidRPr="003948BA">
        <w:t>P</w:t>
      </w:r>
      <w:r w:rsidRPr="003948BA">
        <w:t>roperty</w:t>
      </w:r>
    </w:p>
    <w:p w:rsidR="005E5B48" w:rsidRPr="003948BA" w:rsidRDefault="00814043">
      <w:pPr>
        <w:pStyle w:val="BodyText"/>
        <w:spacing w:before="62"/>
        <w:ind w:left="2000" w:right="1009"/>
        <w:jc w:val="both"/>
      </w:pPr>
      <w:r w:rsidRPr="003948BA">
        <w:t xml:space="preserve">The aggregate proceeds of all Units issued from time to time by each of the Allocation Plans after deducting Duties and Charges, Transactions Costs and any applicable Sales Load , shall constitute part of the Trust Property and includes the Investment and all income, profit and other benefits arising therefrom and all cash, bank balances and other assets and property of every description for the time being held or deemed to be held upon trust by the Trustee for the benefit of the Unit Holder(s) pursuant to </w:t>
      </w:r>
      <w:r w:rsidRPr="003948BA">
        <w:rPr>
          <w:spacing w:val="2"/>
        </w:rPr>
        <w:t xml:space="preserve">the </w:t>
      </w:r>
      <w:r w:rsidRPr="003948BA">
        <w:t>Deed but does not include any amount payable to the Unit Holders as distribution. However any profit earned on the amount payable to the Unit Holders as distribution shall become part of the Trust Property of the pertinent Allocation</w:t>
      </w:r>
      <w:r w:rsidRPr="003948BA">
        <w:rPr>
          <w:spacing w:val="-26"/>
        </w:rPr>
        <w:t xml:space="preserve"> </w:t>
      </w:r>
      <w:r w:rsidRPr="003948BA">
        <w:t>Plan.</w:t>
      </w:r>
    </w:p>
    <w:p w:rsidR="005E5B48" w:rsidRPr="003948BA" w:rsidRDefault="005E5B48">
      <w:pPr>
        <w:pStyle w:val="BodyText"/>
        <w:spacing w:before="2"/>
      </w:pPr>
    </w:p>
    <w:p w:rsidR="005E5B48" w:rsidRPr="003948BA" w:rsidRDefault="00814043">
      <w:pPr>
        <w:pStyle w:val="BodyText"/>
        <w:spacing w:before="1"/>
        <w:ind w:left="2000" w:right="1004"/>
        <w:jc w:val="both"/>
      </w:pPr>
      <w:r w:rsidRPr="003948BA">
        <w:t xml:space="preserve">The Trustee shall hold the Trust Property under each Allocation Plan, as well as Trust Property of the Scheme on deposit in a separate account with an Islamic Bank, and Islamic Banking windows of conventional bank, of minimum rating of </w:t>
      </w:r>
      <w:r w:rsidR="00D811CB" w:rsidRPr="003948BA">
        <w:t>A- (A</w:t>
      </w:r>
      <w:r w:rsidRPr="003948BA">
        <w:t xml:space="preserve"> minus), as advised by the Management Company or allowed for the Fund of Funds category from time to time.</w:t>
      </w:r>
    </w:p>
    <w:p w:rsidR="005E5B48" w:rsidRPr="003948BA" w:rsidRDefault="005E5B48">
      <w:pPr>
        <w:pStyle w:val="BodyText"/>
        <w:rPr>
          <w:sz w:val="30"/>
        </w:rPr>
      </w:pPr>
    </w:p>
    <w:p w:rsidR="005E5B48" w:rsidRPr="003948BA" w:rsidRDefault="00814043" w:rsidP="00A002A6">
      <w:pPr>
        <w:pStyle w:val="Heading5"/>
        <w:numPr>
          <w:ilvl w:val="1"/>
          <w:numId w:val="39"/>
        </w:numPr>
        <w:tabs>
          <w:tab w:val="left" w:pos="2000"/>
          <w:tab w:val="left" w:pos="2001"/>
        </w:tabs>
        <w:spacing w:before="1"/>
        <w:ind w:left="2000"/>
      </w:pPr>
      <w:r w:rsidRPr="003948BA">
        <w:t>Offering</w:t>
      </w:r>
      <w:r w:rsidRPr="003948BA">
        <w:rPr>
          <w:spacing w:val="-9"/>
        </w:rPr>
        <w:t xml:space="preserve"> </w:t>
      </w:r>
      <w:r w:rsidRPr="003948BA">
        <w:t>Document</w:t>
      </w:r>
    </w:p>
    <w:p w:rsidR="005E5B48" w:rsidRPr="003948BA" w:rsidRDefault="005E5B48">
      <w:pPr>
        <w:pStyle w:val="BodyText"/>
        <w:spacing w:before="6"/>
        <w:rPr>
          <w:b/>
          <w:sz w:val="27"/>
        </w:rPr>
      </w:pPr>
    </w:p>
    <w:p w:rsidR="005E5B48" w:rsidRPr="003948BA" w:rsidRDefault="00814043">
      <w:pPr>
        <w:pStyle w:val="BodyText"/>
        <w:ind w:left="2000" w:right="1009"/>
        <w:jc w:val="both"/>
      </w:pPr>
      <w:r w:rsidRPr="003948BA">
        <w:t>The provisions of the Trust Deed, the Rules, the Regulations, circulars and the Directives issued by the Commission govern this Offering Document. It sets forth information about the Fund that a prospective investor should know before investing in any Unit. Prospective investors in their own interest are advised to carefully read this Offering Document to understand the Investment Policy, Risk Factors and Warning and Disclaimer and should also consult their legal, financial and/or other professional adviser before</w:t>
      </w:r>
      <w:r w:rsidRPr="003948BA">
        <w:rPr>
          <w:spacing w:val="-11"/>
        </w:rPr>
        <w:t xml:space="preserve"> </w:t>
      </w:r>
      <w:r w:rsidRPr="003948BA">
        <w:t>investing.</w:t>
      </w:r>
    </w:p>
    <w:p w:rsidR="005E5B48" w:rsidRPr="003948BA" w:rsidRDefault="005E5B48">
      <w:pPr>
        <w:pStyle w:val="BodyText"/>
        <w:rPr>
          <w:sz w:val="32"/>
        </w:rPr>
      </w:pPr>
    </w:p>
    <w:p w:rsidR="005E5B48" w:rsidRPr="003948BA" w:rsidRDefault="00814043" w:rsidP="00A002A6">
      <w:pPr>
        <w:pStyle w:val="Heading5"/>
        <w:numPr>
          <w:ilvl w:val="1"/>
          <w:numId w:val="39"/>
        </w:numPr>
        <w:tabs>
          <w:tab w:val="left" w:pos="2000"/>
          <w:tab w:val="left" w:pos="2001"/>
        </w:tabs>
        <w:ind w:left="2000"/>
      </w:pPr>
      <w:r w:rsidRPr="003948BA">
        <w:t>Modification of Offering</w:t>
      </w:r>
      <w:r w:rsidRPr="003948BA">
        <w:rPr>
          <w:spacing w:val="-8"/>
        </w:rPr>
        <w:t xml:space="preserve"> </w:t>
      </w:r>
      <w:r w:rsidRPr="003948BA">
        <w:t>Document</w:t>
      </w:r>
    </w:p>
    <w:p w:rsidR="005E5B48" w:rsidRPr="003948BA" w:rsidRDefault="005E5B48">
      <w:pPr>
        <w:pStyle w:val="BodyText"/>
        <w:spacing w:before="7"/>
        <w:rPr>
          <w:b/>
          <w:sz w:val="27"/>
        </w:rPr>
      </w:pPr>
    </w:p>
    <w:p w:rsidR="005E5B48" w:rsidRPr="003948BA" w:rsidRDefault="00814043">
      <w:pPr>
        <w:pStyle w:val="BodyText"/>
        <w:ind w:left="2000" w:right="1010"/>
        <w:jc w:val="both"/>
      </w:pPr>
      <w:r w:rsidRPr="003948BA">
        <w:t>This Offering Document will be updated to take account of any relevant material changes relating to the Fund. Such changes shall be subject to prior consent of the Trustee and approval from the Securities and Exchange Commission of Pakistan (SECP) and shall be circulated to all Unit Holders and/ or publicly notified by advertisements in the newspapers subject to the provisions of the Rules and the Regulations and duly posted on official website of the Management Company.</w:t>
      </w:r>
    </w:p>
    <w:p w:rsidR="005E5B48" w:rsidRPr="003948BA" w:rsidRDefault="005E5B48">
      <w:pPr>
        <w:jc w:val="both"/>
        <w:sectPr w:rsidR="005E5B48" w:rsidRPr="003948BA">
          <w:pgSz w:w="11920" w:h="16850"/>
          <w:pgMar w:top="1020" w:right="340" w:bottom="980" w:left="880" w:header="722" w:footer="594" w:gutter="0"/>
          <w:cols w:space="720"/>
        </w:sectPr>
      </w:pPr>
    </w:p>
    <w:p w:rsidR="005E5B48" w:rsidRPr="003948BA" w:rsidRDefault="00814043" w:rsidP="00A002A6">
      <w:pPr>
        <w:pStyle w:val="Heading5"/>
        <w:numPr>
          <w:ilvl w:val="1"/>
          <w:numId w:val="39"/>
        </w:numPr>
        <w:tabs>
          <w:tab w:val="left" w:pos="2000"/>
          <w:tab w:val="left" w:pos="2001"/>
        </w:tabs>
        <w:ind w:left="2000" w:right="20"/>
      </w:pPr>
      <w:r w:rsidRPr="003948BA">
        <w:lastRenderedPageBreak/>
        <w:t>Responsibility of the Management Company for information given in</w:t>
      </w:r>
      <w:r w:rsidRPr="003948BA">
        <w:rPr>
          <w:spacing w:val="-38"/>
        </w:rPr>
        <w:t xml:space="preserve"> </w:t>
      </w:r>
      <w:r w:rsidRPr="003948BA">
        <w:t>this Document</w:t>
      </w:r>
    </w:p>
    <w:p w:rsidR="005E5B48" w:rsidRPr="003948BA" w:rsidRDefault="005E5B48" w:rsidP="009D529C">
      <w:pPr>
        <w:pStyle w:val="BodyText"/>
        <w:spacing w:before="2"/>
        <w:ind w:right="20"/>
        <w:rPr>
          <w:b/>
          <w:sz w:val="27"/>
        </w:rPr>
      </w:pPr>
    </w:p>
    <w:p w:rsidR="005E5B48" w:rsidRPr="003948BA" w:rsidRDefault="00814043" w:rsidP="009D529C">
      <w:pPr>
        <w:pStyle w:val="BodyText"/>
        <w:ind w:left="2000" w:right="20"/>
        <w:jc w:val="both"/>
      </w:pPr>
      <w:r w:rsidRPr="003948BA">
        <w:t>Management Company accepts the responsibility for the information contained in this Offering Document as being accurate at the date of its publication.</w:t>
      </w:r>
    </w:p>
    <w:p w:rsidR="005E5B48" w:rsidRPr="003948BA" w:rsidRDefault="005E5B48" w:rsidP="009D529C">
      <w:pPr>
        <w:pStyle w:val="BodyText"/>
        <w:spacing w:before="11"/>
        <w:ind w:right="20"/>
        <w:rPr>
          <w:sz w:val="29"/>
        </w:rPr>
      </w:pPr>
    </w:p>
    <w:p w:rsidR="005E5B48" w:rsidRPr="003948BA" w:rsidRDefault="00814043" w:rsidP="00A002A6">
      <w:pPr>
        <w:pStyle w:val="Heading5"/>
        <w:numPr>
          <w:ilvl w:val="1"/>
          <w:numId w:val="39"/>
        </w:numPr>
        <w:tabs>
          <w:tab w:val="left" w:pos="2000"/>
          <w:tab w:val="left" w:pos="2001"/>
        </w:tabs>
        <w:ind w:left="2000" w:right="20"/>
      </w:pPr>
      <w:bookmarkStart w:id="6" w:name="_bookmark5"/>
      <w:bookmarkEnd w:id="6"/>
      <w:r w:rsidRPr="003948BA">
        <w:t>Open-End</w:t>
      </w:r>
      <w:r w:rsidRPr="003948BA">
        <w:rPr>
          <w:spacing w:val="-6"/>
        </w:rPr>
        <w:t xml:space="preserve"> </w:t>
      </w:r>
      <w:r w:rsidRPr="003948BA">
        <w:t>Fund</w:t>
      </w:r>
    </w:p>
    <w:p w:rsidR="005E5B48" w:rsidRPr="003948BA" w:rsidRDefault="00814043" w:rsidP="009D529C">
      <w:pPr>
        <w:pStyle w:val="BodyText"/>
        <w:spacing w:before="65"/>
        <w:ind w:left="2000" w:right="20"/>
        <w:jc w:val="both"/>
      </w:pPr>
      <w:r w:rsidRPr="003948BA">
        <w:t xml:space="preserve">“Al-Ameen Islamic Financial Planning Fund - </w:t>
      </w:r>
      <w:r w:rsidR="00EB5255">
        <w:t>IV</w:t>
      </w:r>
      <w:r w:rsidRPr="003948BA">
        <w:t xml:space="preserve">” shall be an open-end Shariah Compliant Fund of Funds Scheme that aims to </w:t>
      </w:r>
      <w:r w:rsidR="00EB5255">
        <w:t xml:space="preserve">earn a potentially high return thorough dynamic asset allocation between various shariah compliant asset classes based on the characteristics of respective Allocation Plans. </w:t>
      </w:r>
      <w:r w:rsidRPr="003948BA">
        <w:t xml:space="preserve">It shall offer Units on a continuous basis during and after the Initial </w:t>
      </w:r>
      <w:r w:rsidR="000355B0">
        <w:t xml:space="preserve">Offering </w:t>
      </w:r>
      <w:r w:rsidRPr="003948BA">
        <w:t>Period; however, term-based plans, may be offered for a limited subscription period.</w:t>
      </w:r>
    </w:p>
    <w:p w:rsidR="005E5B48" w:rsidRPr="003948BA" w:rsidRDefault="005E5B48" w:rsidP="009D529C">
      <w:pPr>
        <w:pStyle w:val="BodyText"/>
        <w:spacing w:before="10"/>
        <w:ind w:right="20"/>
        <w:rPr>
          <w:sz w:val="29"/>
        </w:rPr>
      </w:pPr>
    </w:p>
    <w:p w:rsidR="005E5B48" w:rsidRPr="003948BA" w:rsidRDefault="00814043" w:rsidP="00A002A6">
      <w:pPr>
        <w:pStyle w:val="Heading5"/>
        <w:numPr>
          <w:ilvl w:val="1"/>
          <w:numId w:val="39"/>
        </w:numPr>
        <w:tabs>
          <w:tab w:val="left" w:pos="2000"/>
          <w:tab w:val="left" w:pos="2001"/>
        </w:tabs>
        <w:spacing w:before="1"/>
        <w:ind w:left="2000" w:right="20"/>
      </w:pPr>
      <w:bookmarkStart w:id="7" w:name="_bookmark6"/>
      <w:bookmarkEnd w:id="7"/>
      <w:r w:rsidRPr="003948BA">
        <w:t>Structure of</w:t>
      </w:r>
      <w:r w:rsidRPr="003948BA">
        <w:rPr>
          <w:spacing w:val="-5"/>
        </w:rPr>
        <w:t xml:space="preserve"> </w:t>
      </w:r>
      <w:r w:rsidRPr="003948BA">
        <w:t>Scheme</w:t>
      </w:r>
    </w:p>
    <w:p w:rsidR="005E5B48" w:rsidRPr="003948BA" w:rsidRDefault="005E5B48" w:rsidP="009D529C">
      <w:pPr>
        <w:pStyle w:val="BodyText"/>
        <w:spacing w:before="1"/>
        <w:ind w:right="20"/>
        <w:rPr>
          <w:b/>
          <w:sz w:val="21"/>
        </w:rPr>
      </w:pPr>
    </w:p>
    <w:p w:rsidR="005E5B48" w:rsidRPr="003948BA" w:rsidRDefault="00814043" w:rsidP="00EE6066">
      <w:pPr>
        <w:pStyle w:val="ListParagraph"/>
        <w:numPr>
          <w:ilvl w:val="2"/>
          <w:numId w:val="39"/>
        </w:numPr>
        <w:tabs>
          <w:tab w:val="left" w:pos="2762"/>
        </w:tabs>
        <w:ind w:left="2814" w:right="20" w:hanging="773"/>
        <w:jc w:val="both"/>
        <w:rPr>
          <w:sz w:val="20"/>
        </w:rPr>
      </w:pPr>
      <w:r w:rsidRPr="003948BA">
        <w:rPr>
          <w:sz w:val="20"/>
        </w:rPr>
        <w:t xml:space="preserve">“Al-Ameen Islamic Financial Planning Fund - </w:t>
      </w:r>
      <w:r w:rsidR="00EB5255">
        <w:rPr>
          <w:sz w:val="20"/>
        </w:rPr>
        <w:t>IV</w:t>
      </w:r>
      <w:r w:rsidRPr="003948BA">
        <w:rPr>
          <w:sz w:val="20"/>
        </w:rPr>
        <w:t xml:space="preserve">” has been constituted in the form of a Trust Scheme that shall invest in other </w:t>
      </w:r>
      <w:r w:rsidR="0040259F">
        <w:rPr>
          <w:sz w:val="20"/>
        </w:rPr>
        <w:t xml:space="preserve">Shariah Compliant </w:t>
      </w:r>
      <w:r w:rsidRPr="003948BA">
        <w:rPr>
          <w:sz w:val="20"/>
        </w:rPr>
        <w:t>Collective Investment Schemes</w:t>
      </w:r>
      <w:r w:rsidR="0040259F">
        <w:rPr>
          <w:sz w:val="20"/>
        </w:rPr>
        <w:t>, Cash in Bank Accounts</w:t>
      </w:r>
      <w:r w:rsidR="00EB5255">
        <w:rPr>
          <w:sz w:val="20"/>
        </w:rPr>
        <w:t xml:space="preserve"> &amp; </w:t>
      </w:r>
      <w:r w:rsidR="0040259F">
        <w:rPr>
          <w:sz w:val="20"/>
        </w:rPr>
        <w:t>Shariah C</w:t>
      </w:r>
      <w:r w:rsidR="00EB5255">
        <w:rPr>
          <w:sz w:val="20"/>
        </w:rPr>
        <w:t xml:space="preserve">ompliant Money Market Component (Saving Accounts &amp; Term Deposit </w:t>
      </w:r>
      <w:r w:rsidR="0040259F">
        <w:rPr>
          <w:sz w:val="20"/>
        </w:rPr>
        <w:t>Receipts</w:t>
      </w:r>
      <w:r w:rsidR="00EB5255">
        <w:rPr>
          <w:sz w:val="20"/>
        </w:rPr>
        <w:t xml:space="preserve"> of Islamic banks &amp; Islamic windows of conventional banks having a rating of AA- &amp; above in case of CPPI based Plans)</w:t>
      </w:r>
      <w:r w:rsidRPr="003948BA">
        <w:rPr>
          <w:sz w:val="20"/>
        </w:rPr>
        <w:t xml:space="preserve"> as specified in the Investment Policy contained herein and SECP Circular </w:t>
      </w:r>
      <w:r w:rsidR="00512548" w:rsidRPr="003948BA">
        <w:rPr>
          <w:sz w:val="20"/>
        </w:rPr>
        <w:t xml:space="preserve">No. </w:t>
      </w:r>
      <w:r w:rsidRPr="003948BA">
        <w:rPr>
          <w:sz w:val="20"/>
        </w:rPr>
        <w:t>7 of 2009, as may be amended or substituted from time to</w:t>
      </w:r>
      <w:r w:rsidRPr="003948BA">
        <w:rPr>
          <w:spacing w:val="-18"/>
          <w:sz w:val="20"/>
        </w:rPr>
        <w:t xml:space="preserve"> </w:t>
      </w:r>
      <w:r w:rsidRPr="003948BA">
        <w:rPr>
          <w:sz w:val="20"/>
        </w:rPr>
        <w:t>time.</w:t>
      </w:r>
    </w:p>
    <w:p w:rsidR="005E5B48" w:rsidRPr="003948BA" w:rsidRDefault="005E5B48" w:rsidP="00EE6066">
      <w:pPr>
        <w:pStyle w:val="BodyText"/>
        <w:tabs>
          <w:tab w:val="left" w:pos="2762"/>
        </w:tabs>
        <w:ind w:right="20" w:hanging="773"/>
        <w:rPr>
          <w:sz w:val="21"/>
        </w:rPr>
      </w:pPr>
    </w:p>
    <w:p w:rsidR="005E5B48" w:rsidRPr="003948BA" w:rsidRDefault="00814043" w:rsidP="00EE6066">
      <w:pPr>
        <w:pStyle w:val="ListParagraph"/>
        <w:numPr>
          <w:ilvl w:val="2"/>
          <w:numId w:val="39"/>
        </w:numPr>
        <w:ind w:left="2790" w:right="20" w:hanging="773"/>
        <w:jc w:val="both"/>
        <w:rPr>
          <w:sz w:val="20"/>
        </w:rPr>
      </w:pPr>
      <w:r w:rsidRPr="003948BA">
        <w:rPr>
          <w:sz w:val="20"/>
        </w:rPr>
        <w:t xml:space="preserve">The duration of </w:t>
      </w:r>
      <w:r w:rsidR="00134789" w:rsidRPr="003948BA">
        <w:rPr>
          <w:sz w:val="20"/>
        </w:rPr>
        <w:t>the Fund is perpetual; however the Fund shall offer various Allocation Plans based on their structure of fixed maturity &amp; perpetual, CPPI based methodology</w:t>
      </w:r>
      <w:r w:rsidR="0040259F">
        <w:rPr>
          <w:sz w:val="20"/>
        </w:rPr>
        <w:t xml:space="preserve"> </w:t>
      </w:r>
      <w:r w:rsidR="00EB5255">
        <w:rPr>
          <w:sz w:val="20"/>
        </w:rPr>
        <w:t>or</w:t>
      </w:r>
      <w:r w:rsidR="00134789" w:rsidRPr="003948BA">
        <w:rPr>
          <w:sz w:val="20"/>
        </w:rPr>
        <w:t xml:space="preserve"> active allocation</w:t>
      </w:r>
      <w:r w:rsidR="00EB5255">
        <w:rPr>
          <w:sz w:val="20"/>
        </w:rPr>
        <w:t>.</w:t>
      </w:r>
    </w:p>
    <w:p w:rsidR="005E5B48" w:rsidRPr="003948BA" w:rsidRDefault="005E5B48" w:rsidP="00EE6066">
      <w:pPr>
        <w:pStyle w:val="BodyText"/>
        <w:tabs>
          <w:tab w:val="left" w:pos="2762"/>
        </w:tabs>
        <w:spacing w:before="8"/>
        <w:ind w:right="20" w:hanging="773"/>
      </w:pPr>
    </w:p>
    <w:p w:rsidR="005E5B48" w:rsidRPr="003948BA" w:rsidRDefault="00814043" w:rsidP="00EE6066">
      <w:pPr>
        <w:pStyle w:val="ListParagraph"/>
        <w:numPr>
          <w:ilvl w:val="2"/>
          <w:numId w:val="39"/>
        </w:numPr>
        <w:tabs>
          <w:tab w:val="left" w:pos="2762"/>
          <w:tab w:val="left" w:pos="2814"/>
        </w:tabs>
        <w:spacing w:before="1"/>
        <w:ind w:left="2814" w:right="20" w:hanging="773"/>
        <w:jc w:val="both"/>
        <w:rPr>
          <w:sz w:val="20"/>
        </w:rPr>
      </w:pPr>
      <w:r w:rsidRPr="003948BA">
        <w:rPr>
          <w:sz w:val="20"/>
        </w:rPr>
        <w:t xml:space="preserve">The Fund shall offer multiple Allocation Plans, hereafter, investing in Shariah Compliant </w:t>
      </w:r>
      <w:r w:rsidR="0040259F" w:rsidRPr="003948BA">
        <w:rPr>
          <w:sz w:val="20"/>
        </w:rPr>
        <w:t>Collective Investment Schemes</w:t>
      </w:r>
      <w:r w:rsidR="0040259F">
        <w:rPr>
          <w:sz w:val="20"/>
        </w:rPr>
        <w:t>,</w:t>
      </w:r>
      <w:r w:rsidRPr="003948BA">
        <w:rPr>
          <w:sz w:val="20"/>
        </w:rPr>
        <w:t xml:space="preserve"> </w:t>
      </w:r>
      <w:r w:rsidR="0040259F">
        <w:rPr>
          <w:sz w:val="20"/>
        </w:rPr>
        <w:t>C</w:t>
      </w:r>
      <w:r w:rsidR="0040259F" w:rsidRPr="003948BA">
        <w:rPr>
          <w:sz w:val="20"/>
        </w:rPr>
        <w:t xml:space="preserve">ash </w:t>
      </w:r>
      <w:r w:rsidRPr="003948BA">
        <w:rPr>
          <w:sz w:val="20"/>
        </w:rPr>
        <w:t>in bank accounts</w:t>
      </w:r>
      <w:r w:rsidR="0040259F">
        <w:rPr>
          <w:sz w:val="20"/>
        </w:rPr>
        <w:t xml:space="preserve"> &amp; </w:t>
      </w:r>
      <w:r w:rsidR="0016265A">
        <w:rPr>
          <w:sz w:val="20"/>
        </w:rPr>
        <w:t>Shariah Compliant Money Market Component</w:t>
      </w:r>
      <w:r w:rsidR="0040259F">
        <w:rPr>
          <w:sz w:val="20"/>
        </w:rPr>
        <w:t xml:space="preserve"> (Saving Accounts &amp; Term Deposit Receipts of Islamic banks &amp; Islamic windows of conventional banks having a rating of AA- &amp; above in case of CPPI based Plans)</w:t>
      </w:r>
      <w:r w:rsidRPr="003948BA">
        <w:rPr>
          <w:sz w:val="20"/>
        </w:rPr>
        <w:t xml:space="preserve">, as allowed by the Commission. However, only </w:t>
      </w:r>
      <w:r w:rsidR="0016265A">
        <w:rPr>
          <w:sz w:val="20"/>
        </w:rPr>
        <w:t>one</w:t>
      </w:r>
      <w:r w:rsidR="0016265A" w:rsidRPr="003948BA">
        <w:rPr>
          <w:sz w:val="20"/>
        </w:rPr>
        <w:t xml:space="preserve"> </w:t>
      </w:r>
      <w:r w:rsidR="00016CEC" w:rsidRPr="003948BA">
        <w:rPr>
          <w:sz w:val="20"/>
        </w:rPr>
        <w:t>allocation plan i.e</w:t>
      </w:r>
      <w:r w:rsidR="00016CEC" w:rsidRPr="00F96FC9">
        <w:rPr>
          <w:b/>
          <w:sz w:val="20"/>
        </w:rPr>
        <w:t>.</w:t>
      </w:r>
      <w:r w:rsidR="000E67A9" w:rsidRPr="00F96FC9">
        <w:rPr>
          <w:b/>
          <w:sz w:val="20"/>
        </w:rPr>
        <w:t xml:space="preserve"> </w:t>
      </w:r>
      <w:r w:rsidR="00F2354A">
        <w:rPr>
          <w:b/>
          <w:sz w:val="20"/>
        </w:rPr>
        <w:t xml:space="preserve">Al-Ameen Islamic Active Allocation Plan – XIV </w:t>
      </w:r>
      <w:r w:rsidR="0040259F" w:rsidRPr="00F96FC9">
        <w:rPr>
          <w:b/>
          <w:sz w:val="20"/>
        </w:rPr>
        <w:t>(</w:t>
      </w:r>
      <w:proofErr w:type="spellStart"/>
      <w:r w:rsidR="000E67A9" w:rsidRPr="00F96FC9">
        <w:rPr>
          <w:b/>
          <w:sz w:val="20"/>
        </w:rPr>
        <w:t>AIActAP</w:t>
      </w:r>
      <w:proofErr w:type="spellEnd"/>
      <w:r w:rsidR="000E67A9" w:rsidRPr="00F96FC9">
        <w:rPr>
          <w:b/>
          <w:sz w:val="20"/>
        </w:rPr>
        <w:t>-XIV</w:t>
      </w:r>
      <w:r w:rsidR="0040259F" w:rsidRPr="00F96FC9">
        <w:rPr>
          <w:b/>
          <w:sz w:val="20"/>
        </w:rPr>
        <w:t>)</w:t>
      </w:r>
      <w:r w:rsidR="00016CEC" w:rsidRPr="003948BA">
        <w:rPr>
          <w:sz w:val="20"/>
        </w:rPr>
        <w:t xml:space="preserve"> </w:t>
      </w:r>
      <w:r w:rsidRPr="003948BA">
        <w:rPr>
          <w:sz w:val="20"/>
        </w:rPr>
        <w:t xml:space="preserve">shall be offered initially. Subsequently additional Allocation plans shall be launched via </w:t>
      </w:r>
      <w:r w:rsidR="00D75B77" w:rsidRPr="003948BA">
        <w:rPr>
          <w:sz w:val="20"/>
        </w:rPr>
        <w:t>Supplemental</w:t>
      </w:r>
      <w:r w:rsidRPr="003948BA">
        <w:rPr>
          <w:sz w:val="20"/>
        </w:rPr>
        <w:t xml:space="preserve"> to this Offering Document with the consent of the Trustee and approval of the SECP</w:t>
      </w:r>
    </w:p>
    <w:p w:rsidR="005E5B48" w:rsidRPr="003948BA" w:rsidRDefault="005E5B48" w:rsidP="009D529C">
      <w:pPr>
        <w:pStyle w:val="BodyText"/>
        <w:ind w:right="20"/>
      </w:pPr>
    </w:p>
    <w:p w:rsidR="005E5B48" w:rsidRPr="003948BA" w:rsidRDefault="00814043" w:rsidP="00A002A6">
      <w:pPr>
        <w:pStyle w:val="ListParagraph"/>
        <w:numPr>
          <w:ilvl w:val="2"/>
          <w:numId w:val="39"/>
        </w:numPr>
        <w:tabs>
          <w:tab w:val="left" w:pos="2814"/>
        </w:tabs>
        <w:spacing w:before="1"/>
        <w:ind w:left="2814" w:right="20" w:hanging="773"/>
        <w:jc w:val="both"/>
        <w:rPr>
          <w:sz w:val="20"/>
        </w:rPr>
      </w:pPr>
      <w:r w:rsidRPr="003948BA">
        <w:rPr>
          <w:sz w:val="20"/>
        </w:rPr>
        <w:t>The Management Company may provide additional Allocation Plans with prior consent of the Trustee and approval of the Commission, and should announce the same by Supplementary Offering</w:t>
      </w:r>
      <w:r w:rsidRPr="003948BA">
        <w:rPr>
          <w:spacing w:val="-12"/>
          <w:sz w:val="20"/>
        </w:rPr>
        <w:t xml:space="preserve"> </w:t>
      </w:r>
      <w:r w:rsidRPr="003948BA">
        <w:rPr>
          <w:sz w:val="20"/>
        </w:rPr>
        <w:t>Documents.</w:t>
      </w:r>
    </w:p>
    <w:p w:rsidR="005E5B48" w:rsidRPr="003948BA" w:rsidRDefault="005E5B48" w:rsidP="009D529C">
      <w:pPr>
        <w:pStyle w:val="BodyText"/>
        <w:spacing w:before="11"/>
        <w:ind w:right="20"/>
      </w:pPr>
    </w:p>
    <w:p w:rsidR="005E5B48" w:rsidRPr="003948BA" w:rsidRDefault="00814043" w:rsidP="00A002A6">
      <w:pPr>
        <w:pStyle w:val="ListParagraph"/>
        <w:numPr>
          <w:ilvl w:val="2"/>
          <w:numId w:val="39"/>
        </w:numPr>
        <w:tabs>
          <w:tab w:val="left" w:pos="2814"/>
        </w:tabs>
        <w:ind w:left="2814" w:right="20" w:hanging="773"/>
        <w:jc w:val="both"/>
        <w:rPr>
          <w:sz w:val="20"/>
        </w:rPr>
      </w:pPr>
      <w:r w:rsidRPr="003948BA">
        <w:rPr>
          <w:sz w:val="20"/>
        </w:rPr>
        <w:t xml:space="preserve">Each Allocation Plan will announce separate NAVs which will rank </w:t>
      </w:r>
      <w:proofErr w:type="spellStart"/>
      <w:r w:rsidRPr="003948BA">
        <w:rPr>
          <w:sz w:val="20"/>
        </w:rPr>
        <w:t>pari</w:t>
      </w:r>
      <w:proofErr w:type="spellEnd"/>
      <w:r w:rsidRPr="003948BA">
        <w:rPr>
          <w:sz w:val="20"/>
        </w:rPr>
        <w:t xml:space="preserve"> </w:t>
      </w:r>
      <w:proofErr w:type="spellStart"/>
      <w:r w:rsidRPr="003948BA">
        <w:rPr>
          <w:sz w:val="20"/>
        </w:rPr>
        <w:t>passu</w:t>
      </w:r>
      <w:proofErr w:type="spellEnd"/>
      <w:r w:rsidRPr="003948BA">
        <w:rPr>
          <w:sz w:val="20"/>
        </w:rPr>
        <w:t xml:space="preserve"> inter se according to the number of Units of the respective Allocation</w:t>
      </w:r>
      <w:r w:rsidRPr="003948BA">
        <w:rPr>
          <w:spacing w:val="-34"/>
          <w:sz w:val="20"/>
        </w:rPr>
        <w:t xml:space="preserve"> </w:t>
      </w:r>
      <w:r w:rsidRPr="003948BA">
        <w:rPr>
          <w:sz w:val="20"/>
        </w:rPr>
        <w:t>Plans.</w:t>
      </w:r>
    </w:p>
    <w:p w:rsidR="005E5B48" w:rsidRPr="003948BA" w:rsidRDefault="005E5B48" w:rsidP="009D529C">
      <w:pPr>
        <w:pStyle w:val="BodyText"/>
        <w:spacing w:before="8"/>
        <w:ind w:right="20"/>
      </w:pPr>
    </w:p>
    <w:p w:rsidR="005E5B48" w:rsidRPr="003948BA" w:rsidRDefault="00814043" w:rsidP="00A002A6">
      <w:pPr>
        <w:pStyle w:val="ListParagraph"/>
        <w:numPr>
          <w:ilvl w:val="2"/>
          <w:numId w:val="39"/>
        </w:numPr>
        <w:tabs>
          <w:tab w:val="left" w:pos="2814"/>
        </w:tabs>
        <w:ind w:left="2814" w:right="20" w:hanging="773"/>
        <w:jc w:val="both"/>
        <w:rPr>
          <w:sz w:val="20"/>
        </w:rPr>
      </w:pPr>
      <w:r w:rsidRPr="003948BA">
        <w:rPr>
          <w:sz w:val="20"/>
        </w:rPr>
        <w:t>Investors of the Fund may hold different types of Allocation Plans and may invest in any one or more of the available Allocation</w:t>
      </w:r>
      <w:r w:rsidRPr="003948BA">
        <w:rPr>
          <w:spacing w:val="-22"/>
          <w:sz w:val="20"/>
        </w:rPr>
        <w:t xml:space="preserve"> </w:t>
      </w:r>
      <w:r w:rsidRPr="003948BA">
        <w:rPr>
          <w:sz w:val="20"/>
        </w:rPr>
        <w:t>Plans.</w:t>
      </w:r>
    </w:p>
    <w:p w:rsidR="005E5B48" w:rsidRPr="003948BA" w:rsidRDefault="005E5B48" w:rsidP="009D529C">
      <w:pPr>
        <w:pStyle w:val="BodyText"/>
        <w:spacing w:before="5"/>
        <w:ind w:right="20"/>
        <w:rPr>
          <w:sz w:val="27"/>
        </w:rPr>
      </w:pPr>
    </w:p>
    <w:p w:rsidR="005E5B48" w:rsidRPr="003948BA" w:rsidRDefault="00814043" w:rsidP="00A002A6">
      <w:pPr>
        <w:pStyle w:val="ListParagraph"/>
        <w:numPr>
          <w:ilvl w:val="2"/>
          <w:numId w:val="39"/>
        </w:numPr>
        <w:tabs>
          <w:tab w:val="left" w:pos="2814"/>
        </w:tabs>
        <w:spacing w:before="1"/>
        <w:ind w:left="2814" w:right="20" w:hanging="773"/>
        <w:jc w:val="both"/>
        <w:rPr>
          <w:sz w:val="20"/>
        </w:rPr>
      </w:pPr>
      <w:r w:rsidRPr="003948BA">
        <w:rPr>
          <w:sz w:val="20"/>
        </w:rPr>
        <w:t xml:space="preserve">Each Investor shall only be liable to pay the Offer Price of the Unit under the Allocation   Plan(s)   </w:t>
      </w:r>
      <w:r w:rsidR="00D75B77" w:rsidRPr="003948BA">
        <w:rPr>
          <w:sz w:val="20"/>
        </w:rPr>
        <w:t>subscribed by him</w:t>
      </w:r>
      <w:r w:rsidRPr="003948BA">
        <w:rPr>
          <w:sz w:val="20"/>
        </w:rPr>
        <w:t xml:space="preserve">   </w:t>
      </w:r>
      <w:r w:rsidR="00D75B77" w:rsidRPr="003948BA">
        <w:rPr>
          <w:sz w:val="20"/>
        </w:rPr>
        <w:t>and no further</w:t>
      </w:r>
      <w:r w:rsidRPr="003948BA">
        <w:rPr>
          <w:sz w:val="20"/>
        </w:rPr>
        <w:t xml:space="preserve">   </w:t>
      </w:r>
      <w:r w:rsidR="00D75B77" w:rsidRPr="003948BA">
        <w:rPr>
          <w:sz w:val="20"/>
        </w:rPr>
        <w:t>liability shall</w:t>
      </w:r>
      <w:r w:rsidRPr="003948BA">
        <w:rPr>
          <w:sz w:val="20"/>
        </w:rPr>
        <w:t xml:space="preserve">   </w:t>
      </w:r>
      <w:r w:rsidR="00D75B77" w:rsidRPr="003948BA">
        <w:rPr>
          <w:sz w:val="20"/>
        </w:rPr>
        <w:t>be imposed</w:t>
      </w:r>
      <w:r w:rsidRPr="003948BA">
        <w:rPr>
          <w:sz w:val="20"/>
        </w:rPr>
        <w:t xml:space="preserve"> on him in respect of Unit(s) held by him except a Contingent Load </w:t>
      </w:r>
      <w:r w:rsidR="00C95155" w:rsidRPr="003948BA">
        <w:rPr>
          <w:sz w:val="20"/>
        </w:rPr>
        <w:t>or Back End Load</w:t>
      </w:r>
      <w:r w:rsidR="005A0268" w:rsidRPr="003948BA">
        <w:rPr>
          <w:sz w:val="20"/>
        </w:rPr>
        <w:t xml:space="preserve"> </w:t>
      </w:r>
      <w:r w:rsidR="00C95155" w:rsidRPr="003948BA">
        <w:rPr>
          <w:sz w:val="20"/>
        </w:rPr>
        <w:t>(Deferred Sales Load)</w:t>
      </w:r>
      <w:r w:rsidR="00EA3704" w:rsidRPr="003948BA">
        <w:rPr>
          <w:sz w:val="20"/>
        </w:rPr>
        <w:t xml:space="preserve"> </w:t>
      </w:r>
      <w:r w:rsidRPr="003948BA">
        <w:rPr>
          <w:sz w:val="20"/>
        </w:rPr>
        <w:t>which may be applicable on redemption on certain classes of Units of Allocation Plan(s) as described in “Annexure</w:t>
      </w:r>
      <w:r w:rsidRPr="003948BA">
        <w:rPr>
          <w:spacing w:val="-4"/>
          <w:sz w:val="20"/>
        </w:rPr>
        <w:t xml:space="preserve"> </w:t>
      </w:r>
      <w:r w:rsidRPr="003948BA">
        <w:rPr>
          <w:sz w:val="20"/>
        </w:rPr>
        <w:t>B”</w:t>
      </w:r>
      <w:r w:rsidR="0016265A">
        <w:rPr>
          <w:sz w:val="20"/>
        </w:rPr>
        <w:t xml:space="preserve"> </w:t>
      </w:r>
      <w:r w:rsidR="0056264F">
        <w:rPr>
          <w:sz w:val="20"/>
        </w:rPr>
        <w:t xml:space="preserve">for </w:t>
      </w:r>
      <w:r w:rsidR="0016265A">
        <w:rPr>
          <w:sz w:val="20"/>
        </w:rPr>
        <w:t>the respective Allocation Plan</w:t>
      </w:r>
      <w:r w:rsidRPr="003948BA">
        <w:rPr>
          <w:sz w:val="20"/>
        </w:rPr>
        <w:t>.</w:t>
      </w:r>
    </w:p>
    <w:p w:rsidR="005E5B48" w:rsidRPr="003948BA" w:rsidRDefault="005E5B48" w:rsidP="009D529C">
      <w:pPr>
        <w:pStyle w:val="BodyText"/>
        <w:spacing w:before="9"/>
        <w:ind w:right="20"/>
      </w:pPr>
    </w:p>
    <w:p w:rsidR="005E5B48" w:rsidRPr="003948BA" w:rsidRDefault="00814043" w:rsidP="00A002A6">
      <w:pPr>
        <w:pStyle w:val="ListParagraph"/>
        <w:numPr>
          <w:ilvl w:val="2"/>
          <w:numId w:val="39"/>
        </w:numPr>
        <w:tabs>
          <w:tab w:val="left" w:pos="2814"/>
        </w:tabs>
        <w:ind w:left="2814" w:right="20" w:hanging="773"/>
        <w:jc w:val="both"/>
        <w:rPr>
          <w:sz w:val="20"/>
        </w:rPr>
      </w:pPr>
      <w:r w:rsidRPr="003948BA">
        <w:rPr>
          <w:sz w:val="20"/>
        </w:rPr>
        <w:t>The minimum size of the Scheme shall be of such amount as specified in the Regulations.</w:t>
      </w:r>
    </w:p>
    <w:p w:rsidR="005E5B48" w:rsidRPr="003948BA" w:rsidRDefault="005E5B48" w:rsidP="009D529C">
      <w:pPr>
        <w:pStyle w:val="BodyText"/>
        <w:ind w:right="20"/>
        <w:rPr>
          <w:sz w:val="22"/>
        </w:rPr>
      </w:pPr>
    </w:p>
    <w:p w:rsidR="005E5B48" w:rsidRPr="003948BA" w:rsidRDefault="005E5B48" w:rsidP="009D529C">
      <w:pPr>
        <w:pStyle w:val="BodyText"/>
        <w:spacing w:before="4"/>
        <w:ind w:right="20"/>
        <w:rPr>
          <w:sz w:val="17"/>
        </w:rPr>
      </w:pPr>
    </w:p>
    <w:p w:rsidR="005E5B48" w:rsidRPr="003948BA" w:rsidRDefault="00814043" w:rsidP="00A002A6">
      <w:pPr>
        <w:pStyle w:val="Heading5"/>
        <w:numPr>
          <w:ilvl w:val="1"/>
          <w:numId w:val="39"/>
        </w:numPr>
        <w:tabs>
          <w:tab w:val="left" w:pos="2000"/>
          <w:tab w:val="left" w:pos="2001"/>
        </w:tabs>
        <w:ind w:left="2000" w:right="20"/>
      </w:pPr>
      <w:bookmarkStart w:id="8" w:name="_bookmark7"/>
      <w:bookmarkEnd w:id="8"/>
      <w:r w:rsidRPr="003948BA">
        <w:t>Initial Offer and Initial</w:t>
      </w:r>
      <w:r w:rsidRPr="003948BA">
        <w:rPr>
          <w:spacing w:val="-8"/>
        </w:rPr>
        <w:t xml:space="preserve"> </w:t>
      </w:r>
      <w:r w:rsidR="002D2639">
        <w:rPr>
          <w:spacing w:val="-8"/>
        </w:rPr>
        <w:t xml:space="preserve">Offering </w:t>
      </w:r>
      <w:r w:rsidRPr="003948BA">
        <w:t>Period</w:t>
      </w:r>
    </w:p>
    <w:p w:rsidR="0040429A" w:rsidRPr="003948BA" w:rsidRDefault="00814043" w:rsidP="009D529C">
      <w:pPr>
        <w:pStyle w:val="BodyText"/>
        <w:spacing w:before="60"/>
        <w:ind w:left="2000" w:right="20"/>
        <w:jc w:val="both"/>
      </w:pPr>
      <w:r w:rsidRPr="003948BA">
        <w:t xml:space="preserve">Initial Offer is made during the Initial </w:t>
      </w:r>
      <w:r w:rsidR="002D2639">
        <w:t xml:space="preserve">Offering </w:t>
      </w:r>
      <w:r w:rsidRPr="003948BA">
        <w:t xml:space="preserve">Period </w:t>
      </w:r>
      <w:r w:rsidR="002D2639">
        <w:t xml:space="preserve">(Pre-IPO &amp; IPO) </w:t>
      </w:r>
      <w:r w:rsidRPr="003948BA">
        <w:t xml:space="preserve">which will be </w:t>
      </w:r>
      <w:r w:rsidR="002D2639" w:rsidRPr="002D2639">
        <w:rPr>
          <w:b/>
          <w:highlight w:val="yellow"/>
        </w:rPr>
        <w:t>______</w:t>
      </w:r>
      <w:r w:rsidR="002D2639" w:rsidRPr="003948BA">
        <w:rPr>
          <w:b/>
        </w:rPr>
        <w:t xml:space="preserve"> </w:t>
      </w:r>
      <w:r w:rsidRPr="003948BA">
        <w:rPr>
          <w:b/>
        </w:rPr>
        <w:t>Business Day</w:t>
      </w:r>
      <w:r w:rsidR="002D2639">
        <w:rPr>
          <w:b/>
        </w:rPr>
        <w:t>s</w:t>
      </w:r>
      <w:r w:rsidRPr="003948BA">
        <w:rPr>
          <w:b/>
        </w:rPr>
        <w:t xml:space="preserve"> </w:t>
      </w:r>
      <w:r w:rsidRPr="003948BA">
        <w:t>for the</w:t>
      </w:r>
      <w:r w:rsidR="0040429A" w:rsidRPr="003948BA">
        <w:t xml:space="preserve"> following underlying Allocation Plan:</w:t>
      </w:r>
    </w:p>
    <w:p w:rsidR="005E5B48" w:rsidRPr="003948BA" w:rsidRDefault="002D2639" w:rsidP="002D2639">
      <w:pPr>
        <w:pStyle w:val="BodyText"/>
        <w:spacing w:before="60"/>
        <w:ind w:left="2360" w:right="20"/>
        <w:jc w:val="both"/>
      </w:pPr>
      <w:r>
        <w:rPr>
          <w:b/>
        </w:rPr>
        <w:t xml:space="preserve"> </w:t>
      </w:r>
      <w:r w:rsidR="007227C1">
        <w:rPr>
          <w:b/>
        </w:rPr>
        <w:t>A.</w:t>
      </w:r>
      <w:r w:rsidR="007227C1">
        <w:rPr>
          <w:b/>
        </w:rPr>
        <w:tab/>
      </w:r>
      <w:r w:rsidR="00814043" w:rsidRPr="003948BA">
        <w:rPr>
          <w:b/>
        </w:rPr>
        <w:t xml:space="preserve"> </w:t>
      </w:r>
      <w:r w:rsidR="00D75B77" w:rsidRPr="003948BA">
        <w:rPr>
          <w:b/>
        </w:rPr>
        <w:t xml:space="preserve">Al-Ameen Islamic </w:t>
      </w:r>
      <w:r w:rsidR="00143563" w:rsidRPr="003948BA">
        <w:rPr>
          <w:b/>
        </w:rPr>
        <w:t xml:space="preserve">Active </w:t>
      </w:r>
      <w:r w:rsidR="007227C1">
        <w:rPr>
          <w:b/>
        </w:rPr>
        <w:t>Allocation</w:t>
      </w:r>
      <w:r w:rsidR="00143563" w:rsidRPr="003948BA">
        <w:rPr>
          <w:b/>
        </w:rPr>
        <w:t xml:space="preserve"> Plan-</w:t>
      </w:r>
      <w:r w:rsidR="007227C1">
        <w:rPr>
          <w:b/>
        </w:rPr>
        <w:t>XIV</w:t>
      </w:r>
      <w:r w:rsidR="0016265A" w:rsidRPr="003948BA">
        <w:rPr>
          <w:b/>
        </w:rPr>
        <w:t xml:space="preserve"> </w:t>
      </w:r>
      <w:r w:rsidR="00143563" w:rsidRPr="003948BA">
        <w:t xml:space="preserve">beginning at the start of the banking hours on </w:t>
      </w:r>
      <w:r w:rsidR="0016265A" w:rsidRPr="002D2639">
        <w:rPr>
          <w:highlight w:val="yellow"/>
        </w:rPr>
        <w:t>________</w:t>
      </w:r>
      <w:r w:rsidR="00143563" w:rsidRPr="003948BA">
        <w:rPr>
          <w:b/>
        </w:rPr>
        <w:t xml:space="preserve"> </w:t>
      </w:r>
      <w:r w:rsidR="00143563" w:rsidRPr="003948BA">
        <w:t xml:space="preserve">and shall end at the </w:t>
      </w:r>
      <w:r w:rsidR="009C5253">
        <w:t xml:space="preserve">close of the Banking Hours on </w:t>
      </w:r>
      <w:r w:rsidR="0016265A" w:rsidRPr="002D2639">
        <w:rPr>
          <w:highlight w:val="yellow"/>
        </w:rPr>
        <w:t>__________</w:t>
      </w:r>
      <w:r w:rsidR="00143563" w:rsidRPr="003948BA">
        <w:t>.</w:t>
      </w:r>
    </w:p>
    <w:p w:rsidR="002D2639" w:rsidRDefault="002D2639" w:rsidP="002D2639">
      <w:pPr>
        <w:pStyle w:val="BodyText"/>
        <w:tabs>
          <w:tab w:val="left" w:pos="9720"/>
        </w:tabs>
        <w:spacing w:before="2"/>
        <w:ind w:left="2000" w:right="20"/>
        <w:jc w:val="both"/>
      </w:pPr>
      <w:r>
        <w:lastRenderedPageBreak/>
        <w:t xml:space="preserve">      </w:t>
      </w:r>
    </w:p>
    <w:p w:rsidR="005E5B48" w:rsidRDefault="00814043" w:rsidP="002D2639">
      <w:pPr>
        <w:pStyle w:val="BodyText"/>
        <w:tabs>
          <w:tab w:val="left" w:pos="9720"/>
        </w:tabs>
        <w:spacing w:before="2"/>
        <w:ind w:left="2000" w:right="20"/>
        <w:jc w:val="both"/>
        <w:rPr>
          <w:sz w:val="32"/>
        </w:rPr>
      </w:pPr>
      <w:r w:rsidRPr="003948BA">
        <w:t xml:space="preserve">During the Initial </w:t>
      </w:r>
      <w:r w:rsidR="002D2639">
        <w:t xml:space="preserve">Offering </w:t>
      </w:r>
      <w:r w:rsidRPr="003948BA">
        <w:t xml:space="preserve">Period, the Units shall be offered at Initial Price. No Units shall be redeemable during the Initial </w:t>
      </w:r>
      <w:r w:rsidR="007227C1">
        <w:t>Offer</w:t>
      </w:r>
      <w:r w:rsidR="002D2639">
        <w:t>ing</w:t>
      </w:r>
      <w:r w:rsidR="007227C1">
        <w:t xml:space="preserve"> </w:t>
      </w:r>
      <w:r w:rsidRPr="003948BA">
        <w:t>Period.</w:t>
      </w:r>
    </w:p>
    <w:p w:rsidR="0016265A" w:rsidRPr="003948BA" w:rsidRDefault="0016265A" w:rsidP="002D2639">
      <w:pPr>
        <w:pStyle w:val="BodyText"/>
        <w:tabs>
          <w:tab w:val="left" w:pos="9720"/>
        </w:tabs>
        <w:spacing w:before="2"/>
        <w:ind w:left="2000" w:right="20"/>
        <w:jc w:val="both"/>
        <w:rPr>
          <w:sz w:val="32"/>
        </w:rPr>
      </w:pPr>
    </w:p>
    <w:p w:rsidR="005E5B48" w:rsidRPr="003948BA" w:rsidRDefault="00814043" w:rsidP="00A002A6">
      <w:pPr>
        <w:pStyle w:val="Heading5"/>
        <w:numPr>
          <w:ilvl w:val="1"/>
          <w:numId w:val="39"/>
        </w:numPr>
        <w:tabs>
          <w:tab w:val="left" w:pos="2000"/>
          <w:tab w:val="left" w:pos="2001"/>
        </w:tabs>
        <w:spacing w:before="1"/>
        <w:ind w:left="2000"/>
      </w:pPr>
      <w:bookmarkStart w:id="9" w:name="_bookmark8"/>
      <w:bookmarkEnd w:id="9"/>
      <w:r w:rsidRPr="003948BA">
        <w:t>Transaction in Units after Initial Offering</w:t>
      </w:r>
      <w:r w:rsidRPr="003948BA">
        <w:rPr>
          <w:spacing w:val="-12"/>
        </w:rPr>
        <w:t xml:space="preserve"> </w:t>
      </w:r>
      <w:r w:rsidRPr="003948BA">
        <w:t>Period</w:t>
      </w:r>
    </w:p>
    <w:p w:rsidR="005E5B48" w:rsidRPr="003948BA" w:rsidRDefault="00814043" w:rsidP="00A002A6">
      <w:pPr>
        <w:pStyle w:val="ListParagraph"/>
        <w:numPr>
          <w:ilvl w:val="0"/>
          <w:numId w:val="38"/>
        </w:numPr>
        <w:tabs>
          <w:tab w:val="left" w:pos="2361"/>
        </w:tabs>
        <w:spacing w:before="65"/>
        <w:ind w:right="20"/>
        <w:jc w:val="both"/>
        <w:rPr>
          <w:sz w:val="18"/>
          <w:szCs w:val="18"/>
        </w:rPr>
      </w:pPr>
      <w:r w:rsidRPr="003948BA">
        <w:rPr>
          <w:sz w:val="20"/>
        </w:rPr>
        <w:t>Subsequent to the Initial Offering</w:t>
      </w:r>
      <w:r w:rsidR="00B94483">
        <w:rPr>
          <w:sz w:val="20"/>
        </w:rPr>
        <w:t xml:space="preserve"> Period</w:t>
      </w:r>
      <w:r w:rsidRPr="003948BA">
        <w:rPr>
          <w:sz w:val="20"/>
        </w:rPr>
        <w:t xml:space="preserve">, the offer of Units of the </w:t>
      </w:r>
      <w:r w:rsidR="00B94483">
        <w:rPr>
          <w:sz w:val="20"/>
        </w:rPr>
        <w:t xml:space="preserve">respective </w:t>
      </w:r>
      <w:r w:rsidRPr="003948BA">
        <w:rPr>
          <w:sz w:val="20"/>
        </w:rPr>
        <w:t>Allocation Plan(s) at</w:t>
      </w:r>
      <w:r w:rsidRPr="003948BA">
        <w:rPr>
          <w:spacing w:val="15"/>
          <w:sz w:val="20"/>
        </w:rPr>
        <w:t xml:space="preserve"> </w:t>
      </w:r>
      <w:r w:rsidRPr="003948BA">
        <w:rPr>
          <w:sz w:val="20"/>
        </w:rPr>
        <w:t>the</w:t>
      </w:r>
      <w:r w:rsidRPr="003948BA">
        <w:rPr>
          <w:spacing w:val="15"/>
          <w:sz w:val="20"/>
        </w:rPr>
        <w:t xml:space="preserve"> </w:t>
      </w:r>
      <w:r w:rsidRPr="003948BA">
        <w:rPr>
          <w:sz w:val="20"/>
        </w:rPr>
        <w:t>Initial</w:t>
      </w:r>
      <w:r w:rsidRPr="003948BA">
        <w:rPr>
          <w:spacing w:val="15"/>
          <w:sz w:val="20"/>
        </w:rPr>
        <w:t xml:space="preserve"> </w:t>
      </w:r>
      <w:r w:rsidRPr="003948BA">
        <w:rPr>
          <w:sz w:val="20"/>
        </w:rPr>
        <w:t>Offer</w:t>
      </w:r>
      <w:r w:rsidRPr="003948BA">
        <w:rPr>
          <w:spacing w:val="16"/>
          <w:sz w:val="20"/>
        </w:rPr>
        <w:t xml:space="preserve"> </w:t>
      </w:r>
      <w:r w:rsidRPr="003948BA">
        <w:rPr>
          <w:sz w:val="20"/>
        </w:rPr>
        <w:t>Price</w:t>
      </w:r>
      <w:r w:rsidRPr="003948BA">
        <w:rPr>
          <w:spacing w:val="15"/>
          <w:sz w:val="20"/>
        </w:rPr>
        <w:t xml:space="preserve"> </w:t>
      </w:r>
      <w:r w:rsidRPr="003948BA">
        <w:rPr>
          <w:sz w:val="20"/>
        </w:rPr>
        <w:t>shall</w:t>
      </w:r>
      <w:r w:rsidRPr="003948BA">
        <w:rPr>
          <w:spacing w:val="17"/>
          <w:sz w:val="20"/>
        </w:rPr>
        <w:t xml:space="preserve"> </w:t>
      </w:r>
      <w:r w:rsidRPr="003948BA">
        <w:rPr>
          <w:sz w:val="20"/>
        </w:rPr>
        <w:t>discontinue.</w:t>
      </w:r>
      <w:r w:rsidRPr="003948BA">
        <w:rPr>
          <w:spacing w:val="15"/>
          <w:sz w:val="20"/>
        </w:rPr>
        <w:t xml:space="preserve"> </w:t>
      </w:r>
      <w:r w:rsidRPr="003948BA">
        <w:rPr>
          <w:sz w:val="18"/>
          <w:szCs w:val="18"/>
        </w:rPr>
        <w:t>The</w:t>
      </w:r>
      <w:r w:rsidRPr="003948BA">
        <w:rPr>
          <w:spacing w:val="15"/>
          <w:sz w:val="18"/>
          <w:szCs w:val="18"/>
        </w:rPr>
        <w:t xml:space="preserve"> </w:t>
      </w:r>
      <w:r w:rsidRPr="003948BA">
        <w:rPr>
          <w:sz w:val="18"/>
          <w:szCs w:val="18"/>
        </w:rPr>
        <w:t>Units</w:t>
      </w:r>
      <w:r w:rsidRPr="003948BA">
        <w:rPr>
          <w:spacing w:val="18"/>
          <w:sz w:val="18"/>
          <w:szCs w:val="18"/>
        </w:rPr>
        <w:t xml:space="preserve"> </w:t>
      </w:r>
      <w:r w:rsidRPr="003948BA">
        <w:rPr>
          <w:sz w:val="18"/>
          <w:szCs w:val="18"/>
        </w:rPr>
        <w:t>of</w:t>
      </w:r>
      <w:r w:rsidRPr="003948BA">
        <w:rPr>
          <w:spacing w:val="17"/>
          <w:sz w:val="18"/>
          <w:szCs w:val="18"/>
        </w:rPr>
        <w:t xml:space="preserve"> </w:t>
      </w:r>
      <w:r w:rsidRPr="003948BA">
        <w:rPr>
          <w:sz w:val="18"/>
          <w:szCs w:val="18"/>
        </w:rPr>
        <w:t>the</w:t>
      </w:r>
      <w:r w:rsidRPr="003948BA">
        <w:rPr>
          <w:spacing w:val="15"/>
          <w:sz w:val="18"/>
          <w:szCs w:val="18"/>
        </w:rPr>
        <w:t xml:space="preserve"> </w:t>
      </w:r>
      <w:r w:rsidR="00B94483">
        <w:rPr>
          <w:spacing w:val="15"/>
          <w:sz w:val="18"/>
          <w:szCs w:val="18"/>
        </w:rPr>
        <w:t xml:space="preserve">respective </w:t>
      </w:r>
      <w:r w:rsidRPr="003948BA">
        <w:rPr>
          <w:sz w:val="18"/>
          <w:szCs w:val="18"/>
        </w:rPr>
        <w:t>Allocation</w:t>
      </w:r>
      <w:r w:rsidRPr="003948BA">
        <w:rPr>
          <w:spacing w:val="17"/>
          <w:sz w:val="18"/>
          <w:szCs w:val="18"/>
        </w:rPr>
        <w:t xml:space="preserve"> </w:t>
      </w:r>
      <w:r w:rsidRPr="003948BA">
        <w:rPr>
          <w:sz w:val="18"/>
          <w:szCs w:val="18"/>
        </w:rPr>
        <w:t>Plan(s)</w:t>
      </w:r>
      <w:r w:rsidRPr="003948BA">
        <w:rPr>
          <w:spacing w:val="16"/>
          <w:sz w:val="18"/>
          <w:szCs w:val="18"/>
        </w:rPr>
        <w:t xml:space="preserve"> </w:t>
      </w:r>
      <w:r w:rsidRPr="003948BA">
        <w:rPr>
          <w:sz w:val="18"/>
          <w:szCs w:val="18"/>
        </w:rPr>
        <w:t>can</w:t>
      </w:r>
      <w:r w:rsidR="009D529C" w:rsidRPr="003948BA">
        <w:rPr>
          <w:sz w:val="18"/>
          <w:szCs w:val="18"/>
        </w:rPr>
        <w:t xml:space="preserve"> </w:t>
      </w:r>
      <w:r w:rsidRPr="003948BA">
        <w:rPr>
          <w:sz w:val="18"/>
          <w:szCs w:val="18"/>
        </w:rPr>
        <w:t xml:space="preserve">then be purchased at their Offer price and redeemed at the Redemption Price, which shall be calculated on the basis of Net Asset Value (NAV) of each Allocation Plan. The Units will be available for purchase and redemption on each Dealing Day. NAV will be published on the Management </w:t>
      </w:r>
      <w:r w:rsidR="00D75B77" w:rsidRPr="003948BA">
        <w:rPr>
          <w:sz w:val="18"/>
          <w:szCs w:val="18"/>
        </w:rPr>
        <w:t>Company’s</w:t>
      </w:r>
      <w:r w:rsidRPr="003948BA">
        <w:rPr>
          <w:sz w:val="18"/>
          <w:szCs w:val="18"/>
        </w:rPr>
        <w:t xml:space="preserve"> and MUFAP‟s website.</w:t>
      </w:r>
    </w:p>
    <w:p w:rsidR="005E5B48" w:rsidRPr="003948BA" w:rsidRDefault="005E5B48">
      <w:pPr>
        <w:pStyle w:val="BodyText"/>
        <w:spacing w:before="7"/>
        <w:rPr>
          <w:sz w:val="19"/>
        </w:rPr>
      </w:pPr>
    </w:p>
    <w:p w:rsidR="005E5B48" w:rsidRPr="003948BA" w:rsidRDefault="00814043" w:rsidP="00A002A6">
      <w:pPr>
        <w:pStyle w:val="ListParagraph"/>
        <w:numPr>
          <w:ilvl w:val="0"/>
          <w:numId w:val="38"/>
        </w:numPr>
        <w:tabs>
          <w:tab w:val="left" w:pos="2361"/>
        </w:tabs>
        <w:ind w:right="110"/>
        <w:jc w:val="both"/>
        <w:rPr>
          <w:sz w:val="20"/>
        </w:rPr>
      </w:pPr>
      <w:r w:rsidRPr="003948BA">
        <w:rPr>
          <w:sz w:val="20"/>
        </w:rPr>
        <w:t>The Management Company may at some future time register the Units of Allocation Plans with a Depository organization, such as the Central Depository Company of Pakistan Limited. Any transactions for de-materialized Units registered with Depository will take place according to the rules and regulations of the depository organization and the constitutive documents of the</w:t>
      </w:r>
      <w:r w:rsidRPr="003948BA">
        <w:rPr>
          <w:spacing w:val="-32"/>
          <w:sz w:val="20"/>
        </w:rPr>
        <w:t xml:space="preserve"> </w:t>
      </w:r>
      <w:r w:rsidRPr="003948BA">
        <w:rPr>
          <w:sz w:val="20"/>
        </w:rPr>
        <w:t>Fund.</w:t>
      </w:r>
    </w:p>
    <w:p w:rsidR="005E5B48" w:rsidRPr="003948BA" w:rsidRDefault="005E5B48">
      <w:pPr>
        <w:pStyle w:val="BodyText"/>
      </w:pPr>
    </w:p>
    <w:p w:rsidR="00296052" w:rsidRPr="003948BA" w:rsidRDefault="00814043" w:rsidP="00A002A6">
      <w:pPr>
        <w:pStyle w:val="ListParagraph"/>
        <w:numPr>
          <w:ilvl w:val="0"/>
          <w:numId w:val="38"/>
        </w:numPr>
        <w:tabs>
          <w:tab w:val="left" w:pos="2361"/>
        </w:tabs>
        <w:ind w:right="20"/>
        <w:jc w:val="both"/>
        <w:rPr>
          <w:sz w:val="20"/>
        </w:rPr>
      </w:pPr>
      <w:r w:rsidRPr="003948BA">
        <w:rPr>
          <w:sz w:val="20"/>
        </w:rPr>
        <w:t>The Issue and Redemption of Units of one or more than one Allocation Plans may be suspended or deferred by the Management Company under certain circumstances as detailed in Clause</w:t>
      </w:r>
      <w:r w:rsidRPr="003948BA">
        <w:rPr>
          <w:spacing w:val="-4"/>
          <w:sz w:val="20"/>
        </w:rPr>
        <w:t xml:space="preserve"> </w:t>
      </w:r>
      <w:r w:rsidRPr="003948BA">
        <w:rPr>
          <w:sz w:val="20"/>
        </w:rPr>
        <w:t>4.10.</w:t>
      </w:r>
    </w:p>
    <w:p w:rsidR="00296052" w:rsidRPr="003948BA" w:rsidRDefault="00296052" w:rsidP="00296052">
      <w:pPr>
        <w:pStyle w:val="ListParagraph"/>
        <w:rPr>
          <w:sz w:val="20"/>
        </w:rPr>
      </w:pPr>
    </w:p>
    <w:p w:rsidR="000804B4" w:rsidRPr="003948BA" w:rsidRDefault="00B94483" w:rsidP="00B94483">
      <w:pPr>
        <w:pStyle w:val="ListParagraph"/>
        <w:numPr>
          <w:ilvl w:val="1"/>
          <w:numId w:val="39"/>
        </w:numPr>
        <w:rPr>
          <w:sz w:val="20"/>
        </w:rPr>
      </w:pPr>
      <w:r>
        <w:rPr>
          <w:b/>
          <w:bCs/>
          <w:sz w:val="20"/>
          <w:szCs w:val="20"/>
        </w:rPr>
        <w:t xml:space="preserve">      </w:t>
      </w:r>
      <w:r w:rsidR="000804B4" w:rsidRPr="00B94483">
        <w:rPr>
          <w:b/>
          <w:bCs/>
          <w:sz w:val="20"/>
          <w:szCs w:val="20"/>
        </w:rPr>
        <w:t xml:space="preserve">Principal Preservation </w:t>
      </w:r>
      <w:r w:rsidR="008E7961" w:rsidRPr="00B94483">
        <w:rPr>
          <w:b/>
          <w:bCs/>
          <w:sz w:val="20"/>
          <w:szCs w:val="20"/>
        </w:rPr>
        <w:t>(</w:t>
      </w:r>
      <w:r w:rsidR="000F0524" w:rsidRPr="00B94483">
        <w:rPr>
          <w:b/>
          <w:bCs/>
          <w:sz w:val="20"/>
          <w:szCs w:val="20"/>
        </w:rPr>
        <w:t>for CPPI Methodology based Plans only</w:t>
      </w:r>
      <w:r w:rsidR="008E7961" w:rsidRPr="00B94483">
        <w:rPr>
          <w:b/>
          <w:bCs/>
          <w:sz w:val="20"/>
          <w:szCs w:val="20"/>
        </w:rPr>
        <w:t>)</w:t>
      </w:r>
    </w:p>
    <w:p w:rsidR="00296052" w:rsidRPr="0016265A" w:rsidRDefault="00296052" w:rsidP="000804B4">
      <w:pPr>
        <w:pStyle w:val="Default"/>
        <w:ind w:left="2360"/>
        <w:jc w:val="both"/>
        <w:rPr>
          <w:rFonts w:ascii="Arial" w:hAnsi="Arial" w:cs="Arial"/>
          <w:bCs/>
          <w:sz w:val="22"/>
        </w:rPr>
      </w:pPr>
    </w:p>
    <w:p w:rsidR="00296052" w:rsidRPr="003948BA" w:rsidRDefault="00296052" w:rsidP="009D529C">
      <w:pPr>
        <w:adjustRightInd w:val="0"/>
        <w:ind w:left="2000" w:right="20"/>
        <w:jc w:val="both"/>
        <w:rPr>
          <w:sz w:val="18"/>
          <w:szCs w:val="18"/>
        </w:rPr>
      </w:pPr>
      <w:r w:rsidRPr="0016265A">
        <w:rPr>
          <w:b/>
          <w:bCs/>
          <w:sz w:val="18"/>
          <w:szCs w:val="24"/>
        </w:rPr>
        <w:t>(a)</w:t>
      </w:r>
      <w:r w:rsidRPr="0016265A">
        <w:rPr>
          <w:bCs/>
          <w:szCs w:val="24"/>
        </w:rPr>
        <w:t xml:space="preserve"> </w:t>
      </w:r>
      <w:r w:rsidRPr="0016265A">
        <w:rPr>
          <w:sz w:val="18"/>
          <w:szCs w:val="18"/>
        </w:rPr>
        <w:t>P</w:t>
      </w:r>
      <w:r w:rsidRPr="003948BA">
        <w:rPr>
          <w:sz w:val="18"/>
          <w:szCs w:val="18"/>
        </w:rPr>
        <w:t xml:space="preserve">rincipal Preservation is envisaged to be provided through the use of CPPI methodology and the Investment structure of the </w:t>
      </w:r>
      <w:r w:rsidR="00173737">
        <w:rPr>
          <w:sz w:val="18"/>
          <w:szCs w:val="18"/>
        </w:rPr>
        <w:t xml:space="preserve">respective Allocation </w:t>
      </w:r>
      <w:r w:rsidRPr="003948BA">
        <w:rPr>
          <w:sz w:val="18"/>
          <w:szCs w:val="18"/>
        </w:rPr>
        <w:t xml:space="preserve">Plan as detailed in Clause 2 and not through an undertaking by the Management Company or Trustee. </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(b) </w:t>
      </w:r>
      <w:r w:rsidRPr="003948BA">
        <w:rPr>
          <w:sz w:val="18"/>
          <w:szCs w:val="18"/>
        </w:rPr>
        <w:t xml:space="preserve">Principal Preservation means that the Net Realizable Value of investment shall not fall below the Initial Investment Value subject to Clause 1.12 (a) above, provided the investment is held </w:t>
      </w:r>
      <w:r w:rsidR="00173737">
        <w:rPr>
          <w:sz w:val="18"/>
          <w:szCs w:val="18"/>
        </w:rPr>
        <w:t xml:space="preserve">till </w:t>
      </w:r>
      <w:proofErr w:type="gramStart"/>
      <w:r w:rsidR="00173737">
        <w:rPr>
          <w:sz w:val="18"/>
          <w:szCs w:val="18"/>
        </w:rPr>
        <w:t xml:space="preserve">maturity </w:t>
      </w:r>
      <w:r w:rsidR="008355F4">
        <w:rPr>
          <w:sz w:val="18"/>
          <w:szCs w:val="18"/>
        </w:rPr>
        <w:t xml:space="preserve"> from</w:t>
      </w:r>
      <w:proofErr w:type="gramEnd"/>
      <w:r w:rsidR="008355F4">
        <w:rPr>
          <w:sz w:val="18"/>
          <w:szCs w:val="18"/>
        </w:rPr>
        <w:t xml:space="preserve"> the commencement of life of plan</w:t>
      </w:r>
      <w:r w:rsidR="00173737">
        <w:rPr>
          <w:sz w:val="18"/>
          <w:szCs w:val="18"/>
        </w:rPr>
        <w:t xml:space="preserve"> as per the investment policy of the respective Allocation Plan(s) </w:t>
      </w:r>
      <w:r w:rsidRPr="003948BA">
        <w:rPr>
          <w:sz w:val="18"/>
          <w:szCs w:val="18"/>
        </w:rPr>
        <w:t xml:space="preserve">specified in </w:t>
      </w:r>
      <w:r w:rsidR="00173737">
        <w:rPr>
          <w:sz w:val="18"/>
          <w:szCs w:val="18"/>
        </w:rPr>
        <w:t>the</w:t>
      </w:r>
      <w:r w:rsidR="00173737" w:rsidRPr="003948BA">
        <w:rPr>
          <w:sz w:val="18"/>
          <w:szCs w:val="18"/>
        </w:rPr>
        <w:t xml:space="preserve"> </w:t>
      </w:r>
      <w:r w:rsidRPr="003948BA">
        <w:rPr>
          <w:sz w:val="18"/>
          <w:szCs w:val="18"/>
        </w:rPr>
        <w:t xml:space="preserve">Offering Document. The Principal Preservation period shall begin from the commencement of the Life of the </w:t>
      </w:r>
      <w:r w:rsidR="00173737">
        <w:rPr>
          <w:sz w:val="18"/>
          <w:szCs w:val="18"/>
        </w:rPr>
        <w:t xml:space="preserve">respective Allocation </w:t>
      </w:r>
      <w:r w:rsidRPr="003948BA">
        <w:rPr>
          <w:sz w:val="18"/>
          <w:szCs w:val="18"/>
        </w:rPr>
        <w:t>Plan.</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(c) </w:t>
      </w:r>
      <w:r w:rsidRPr="003948BA">
        <w:rPr>
          <w:sz w:val="18"/>
          <w:szCs w:val="18"/>
        </w:rPr>
        <w:t>The investments in the Principal Preservation Segment of the Plan</w:t>
      </w:r>
      <w:r w:rsidR="00173737">
        <w:rPr>
          <w:sz w:val="18"/>
          <w:szCs w:val="18"/>
        </w:rPr>
        <w:t>(s)</w:t>
      </w:r>
      <w:r w:rsidRPr="003948BA">
        <w:rPr>
          <w:sz w:val="18"/>
          <w:szCs w:val="18"/>
        </w:rPr>
        <w:t xml:space="preserve">, as specified in Clause </w:t>
      </w:r>
      <w:r w:rsidR="000D62E8" w:rsidRPr="003948BA">
        <w:rPr>
          <w:sz w:val="18"/>
          <w:szCs w:val="18"/>
        </w:rPr>
        <w:t>2.2.2</w:t>
      </w:r>
      <w:r w:rsidRPr="003948BA">
        <w:rPr>
          <w:sz w:val="18"/>
          <w:szCs w:val="18"/>
        </w:rPr>
        <w:t xml:space="preserve"> under the “</w:t>
      </w:r>
      <w:r w:rsidR="00132748" w:rsidRPr="003948BA">
        <w:rPr>
          <w:bCs/>
          <w:color w:val="000000"/>
          <w:sz w:val="18"/>
          <w:szCs w:val="18"/>
        </w:rPr>
        <w:t xml:space="preserve">Allocation </w:t>
      </w:r>
      <w:r w:rsidR="00C92804" w:rsidRPr="003948BA">
        <w:rPr>
          <w:bCs/>
          <w:color w:val="000000"/>
          <w:sz w:val="18"/>
          <w:szCs w:val="18"/>
        </w:rPr>
        <w:t>Plans</w:t>
      </w:r>
      <w:r w:rsidRPr="003948BA">
        <w:rPr>
          <w:sz w:val="18"/>
          <w:szCs w:val="18"/>
        </w:rPr>
        <w:t xml:space="preserve">‟ section of </w:t>
      </w:r>
      <w:r w:rsidR="00173737">
        <w:rPr>
          <w:sz w:val="18"/>
          <w:szCs w:val="18"/>
        </w:rPr>
        <w:t>the</w:t>
      </w:r>
      <w:r w:rsidR="00173737" w:rsidRPr="003948BA">
        <w:rPr>
          <w:sz w:val="18"/>
          <w:szCs w:val="18"/>
        </w:rPr>
        <w:t xml:space="preserve"> </w:t>
      </w:r>
      <w:r w:rsidRPr="003948BA">
        <w:rPr>
          <w:sz w:val="18"/>
          <w:szCs w:val="18"/>
        </w:rPr>
        <w:t xml:space="preserve">Offering Document </w:t>
      </w:r>
      <w:r w:rsidR="00173737" w:rsidRPr="003948BA">
        <w:rPr>
          <w:sz w:val="18"/>
          <w:szCs w:val="18"/>
        </w:rPr>
        <w:t>of the Plan</w:t>
      </w:r>
      <w:r w:rsidR="00173737">
        <w:rPr>
          <w:sz w:val="18"/>
          <w:szCs w:val="18"/>
        </w:rPr>
        <w:t xml:space="preserve">(s) </w:t>
      </w:r>
      <w:r w:rsidRPr="003948BA">
        <w:rPr>
          <w:sz w:val="18"/>
          <w:szCs w:val="18"/>
        </w:rPr>
        <w:t xml:space="preserve">shall only be triggered, on an occurrence of the Bond Event. </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(d) </w:t>
      </w:r>
      <w:r w:rsidRPr="003948BA">
        <w:rPr>
          <w:sz w:val="18"/>
          <w:szCs w:val="18"/>
        </w:rPr>
        <w:t>Principal Preservation shall not be valid if Units of the Plan</w:t>
      </w:r>
      <w:r w:rsidR="00173737">
        <w:rPr>
          <w:sz w:val="18"/>
          <w:szCs w:val="18"/>
        </w:rPr>
        <w:t>(s)</w:t>
      </w:r>
      <w:r w:rsidRPr="003948BA">
        <w:rPr>
          <w:sz w:val="18"/>
          <w:szCs w:val="18"/>
        </w:rPr>
        <w:t xml:space="preserve"> are redeemed before </w:t>
      </w:r>
      <w:r w:rsidR="00173737">
        <w:rPr>
          <w:sz w:val="18"/>
          <w:szCs w:val="18"/>
        </w:rPr>
        <w:t xml:space="preserve">maturity as per the investment policy of the Plan(s) </w:t>
      </w:r>
      <w:r w:rsidRPr="003948BA">
        <w:rPr>
          <w:sz w:val="18"/>
          <w:szCs w:val="18"/>
        </w:rPr>
        <w:t xml:space="preserve"> and a Contingent Load </w:t>
      </w:r>
      <w:r w:rsidR="00173737">
        <w:rPr>
          <w:sz w:val="18"/>
          <w:szCs w:val="18"/>
        </w:rPr>
        <w:t xml:space="preserve">&amp; Back End Load (Deferred Sales Load) </w:t>
      </w:r>
      <w:r w:rsidRPr="003948BA">
        <w:rPr>
          <w:sz w:val="18"/>
          <w:szCs w:val="18"/>
        </w:rPr>
        <w:t xml:space="preserve">shall be charged on certain classes of units, as per details in (Annexure B) of </w:t>
      </w:r>
      <w:r w:rsidR="00173737">
        <w:rPr>
          <w:sz w:val="18"/>
          <w:szCs w:val="18"/>
        </w:rPr>
        <w:t>the</w:t>
      </w:r>
      <w:r w:rsidR="00173737" w:rsidRPr="003948BA">
        <w:rPr>
          <w:sz w:val="18"/>
          <w:szCs w:val="18"/>
        </w:rPr>
        <w:t xml:space="preserve"> </w:t>
      </w:r>
      <w:r w:rsidRPr="003948BA">
        <w:rPr>
          <w:sz w:val="18"/>
          <w:szCs w:val="18"/>
        </w:rPr>
        <w:t>Offering Document</w:t>
      </w:r>
      <w:r w:rsidR="008355F4">
        <w:rPr>
          <w:sz w:val="18"/>
          <w:szCs w:val="18"/>
        </w:rPr>
        <w:t>.</w:t>
      </w:r>
      <w:r w:rsidRPr="003948BA">
        <w:rPr>
          <w:sz w:val="18"/>
          <w:szCs w:val="18"/>
        </w:rPr>
        <w:t xml:space="preserve">  </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(e) </w:t>
      </w:r>
      <w:r w:rsidRPr="003948BA">
        <w:rPr>
          <w:sz w:val="18"/>
          <w:szCs w:val="18"/>
        </w:rPr>
        <w:t xml:space="preserve">Any redemption of units during the Life of Plan on a specified date would be based on the NAV of the </w:t>
      </w:r>
      <w:r w:rsidR="00173737">
        <w:rPr>
          <w:sz w:val="18"/>
          <w:szCs w:val="18"/>
        </w:rPr>
        <w:t xml:space="preserve">respective </w:t>
      </w:r>
      <w:r w:rsidRPr="003948BA">
        <w:rPr>
          <w:sz w:val="18"/>
          <w:szCs w:val="18"/>
        </w:rPr>
        <w:t xml:space="preserve">Plan on the day it is received within the cut-off time, as specified in Annexure B and will be charged a Contingent Load </w:t>
      </w:r>
      <w:r w:rsidR="00173737">
        <w:rPr>
          <w:sz w:val="18"/>
          <w:szCs w:val="18"/>
        </w:rPr>
        <w:t xml:space="preserve">&amp; Back End Load (Deferred Sales Load) </w:t>
      </w:r>
      <w:r w:rsidRPr="003948BA">
        <w:rPr>
          <w:sz w:val="18"/>
          <w:szCs w:val="18"/>
        </w:rPr>
        <w:t xml:space="preserve">and the Principal Preservation does not apply if such redemption is made before </w:t>
      </w:r>
      <w:r w:rsidR="00173737">
        <w:rPr>
          <w:sz w:val="18"/>
          <w:szCs w:val="18"/>
        </w:rPr>
        <w:t>maturity</w:t>
      </w:r>
      <w:r w:rsidR="008355F4">
        <w:rPr>
          <w:sz w:val="18"/>
          <w:szCs w:val="18"/>
        </w:rPr>
        <w:t>.</w:t>
      </w:r>
      <w:r w:rsidR="00173737">
        <w:rPr>
          <w:sz w:val="18"/>
          <w:szCs w:val="18"/>
        </w:rPr>
        <w:t xml:space="preserve">. </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(f) </w:t>
      </w:r>
      <w:r w:rsidRPr="003948BA">
        <w:rPr>
          <w:sz w:val="18"/>
          <w:szCs w:val="18"/>
        </w:rPr>
        <w:t xml:space="preserve">Principal Preservation is only valid in terms of the current tax and legal environment of Pakistan and is subject to force majeure factors as specified in Clause 10.7 “Force Majeure‟ of this Offering Document.  </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(g) </w:t>
      </w:r>
      <w:r w:rsidRPr="003948BA">
        <w:rPr>
          <w:sz w:val="18"/>
          <w:szCs w:val="18"/>
        </w:rPr>
        <w:t xml:space="preserve">Principal Preservation is also not valid in case </w:t>
      </w:r>
      <w:r w:rsidR="00173737">
        <w:rPr>
          <w:sz w:val="18"/>
          <w:szCs w:val="18"/>
        </w:rPr>
        <w:t xml:space="preserve">the </w:t>
      </w:r>
      <w:r w:rsidRPr="003948BA">
        <w:rPr>
          <w:sz w:val="18"/>
          <w:szCs w:val="18"/>
        </w:rPr>
        <w:t xml:space="preserve">Plan is terminated before the </w:t>
      </w:r>
      <w:r w:rsidR="003A713E">
        <w:rPr>
          <w:sz w:val="18"/>
          <w:szCs w:val="18"/>
        </w:rPr>
        <w:t xml:space="preserve">maturity </w:t>
      </w:r>
      <w:r w:rsidRPr="003948BA">
        <w:rPr>
          <w:sz w:val="18"/>
          <w:szCs w:val="18"/>
        </w:rPr>
        <w:t>as defined in the Offering Document</w:t>
      </w:r>
      <w:r w:rsidR="003A713E">
        <w:rPr>
          <w:sz w:val="18"/>
          <w:szCs w:val="18"/>
        </w:rPr>
        <w:t xml:space="preserve"> of the respective Plan(s)</w:t>
      </w:r>
      <w:r w:rsidRPr="003948BA">
        <w:rPr>
          <w:sz w:val="18"/>
          <w:szCs w:val="18"/>
        </w:rPr>
        <w:t>.</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(h) </w:t>
      </w:r>
      <w:r w:rsidRPr="003948BA">
        <w:rPr>
          <w:sz w:val="18"/>
          <w:szCs w:val="18"/>
        </w:rPr>
        <w:t>The Plan shall be closed for new subscriptions after the close of the Initial Offering Period</w:t>
      </w:r>
      <w:r w:rsidR="003A713E">
        <w:rPr>
          <w:sz w:val="18"/>
          <w:szCs w:val="18"/>
        </w:rPr>
        <w:t xml:space="preserve"> &amp; Subscription Period</w:t>
      </w:r>
      <w:r w:rsidRPr="003948BA">
        <w:rPr>
          <w:sz w:val="18"/>
          <w:szCs w:val="18"/>
        </w:rPr>
        <w:t xml:space="preserve"> </w:t>
      </w:r>
      <w:r w:rsidR="003A713E">
        <w:rPr>
          <w:sz w:val="18"/>
          <w:szCs w:val="18"/>
        </w:rPr>
        <w:t>as defined in</w:t>
      </w:r>
      <w:r w:rsidRPr="003948BA">
        <w:rPr>
          <w:sz w:val="18"/>
          <w:szCs w:val="18"/>
        </w:rPr>
        <w:t xml:space="preserve"> the Offering Document.</w:t>
      </w:r>
    </w:p>
    <w:p w:rsidR="00296052" w:rsidRPr="003948BA" w:rsidRDefault="00296052" w:rsidP="000804B4">
      <w:pPr>
        <w:adjustRightInd w:val="0"/>
        <w:ind w:left="2000"/>
        <w:jc w:val="both"/>
        <w:rPr>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(i) </w:t>
      </w:r>
      <w:r w:rsidRPr="003948BA">
        <w:rPr>
          <w:sz w:val="18"/>
          <w:szCs w:val="18"/>
        </w:rPr>
        <w:t xml:space="preserve">The Plan may be re-opened from time to time as and when determined by the Management Company with prior approval of the Commission under intimation to Trustee and after providing notice to the investors in order to protect the interests of the existing Unit Holders of the </w:t>
      </w:r>
      <w:r w:rsidR="003A713E">
        <w:rPr>
          <w:sz w:val="18"/>
          <w:szCs w:val="18"/>
        </w:rPr>
        <w:t xml:space="preserve">respective </w:t>
      </w:r>
      <w:r w:rsidRPr="003948BA">
        <w:rPr>
          <w:sz w:val="18"/>
          <w:szCs w:val="18"/>
        </w:rPr>
        <w:t>Plan</w:t>
      </w:r>
      <w:r w:rsidR="003A713E">
        <w:rPr>
          <w:sz w:val="18"/>
          <w:szCs w:val="18"/>
        </w:rPr>
        <w:t>(s)</w:t>
      </w:r>
      <w:r w:rsidRPr="003948BA">
        <w:rPr>
          <w:sz w:val="18"/>
          <w:szCs w:val="18"/>
        </w:rPr>
        <w:t xml:space="preserve">. </w:t>
      </w:r>
    </w:p>
    <w:p w:rsidR="00296052" w:rsidRPr="003948BA" w:rsidRDefault="00296052" w:rsidP="000804B4">
      <w:pPr>
        <w:adjustRightInd w:val="0"/>
        <w:ind w:left="2000"/>
        <w:jc w:val="both"/>
        <w:rPr>
          <w:b/>
          <w:bCs/>
          <w:sz w:val="18"/>
          <w:szCs w:val="18"/>
        </w:rPr>
      </w:pPr>
    </w:p>
    <w:p w:rsidR="00296052" w:rsidRPr="003948BA" w:rsidRDefault="00296052" w:rsidP="000804B4">
      <w:pPr>
        <w:adjustRightInd w:val="0"/>
        <w:ind w:left="2000"/>
        <w:jc w:val="both"/>
        <w:rPr>
          <w:sz w:val="18"/>
          <w:szCs w:val="18"/>
        </w:rPr>
      </w:pPr>
      <w:r w:rsidRPr="003948BA">
        <w:rPr>
          <w:b/>
          <w:bCs/>
          <w:sz w:val="18"/>
          <w:szCs w:val="18"/>
        </w:rPr>
        <w:t xml:space="preserve">(j) </w:t>
      </w:r>
      <w:r w:rsidRPr="003948BA">
        <w:rPr>
          <w:sz w:val="18"/>
          <w:szCs w:val="18"/>
        </w:rPr>
        <w:t>Investments of the proceeds from subsequent investments will be treated in the same manner as specified in Clause 1.12 (a) above will also be eligible for Principal Preservation.</w:t>
      </w:r>
    </w:p>
    <w:p w:rsidR="005E5B48" w:rsidRDefault="005E5B48">
      <w:pPr>
        <w:pStyle w:val="BodyText"/>
        <w:rPr>
          <w:sz w:val="22"/>
        </w:rPr>
      </w:pPr>
    </w:p>
    <w:p w:rsidR="00F96FC9" w:rsidRPr="003948BA" w:rsidRDefault="00F96FC9">
      <w:pPr>
        <w:pStyle w:val="BodyText"/>
        <w:rPr>
          <w:sz w:val="22"/>
        </w:rPr>
      </w:pPr>
    </w:p>
    <w:p w:rsidR="005E5B48" w:rsidRPr="003948BA" w:rsidRDefault="00814043" w:rsidP="00A002A6">
      <w:pPr>
        <w:pStyle w:val="Heading2"/>
        <w:numPr>
          <w:ilvl w:val="0"/>
          <w:numId w:val="39"/>
        </w:numPr>
        <w:tabs>
          <w:tab w:val="left" w:pos="1712"/>
          <w:tab w:val="left" w:pos="1713"/>
        </w:tabs>
        <w:spacing w:before="1"/>
        <w:ind w:right="1272"/>
        <w:jc w:val="left"/>
      </w:pPr>
      <w:bookmarkStart w:id="10" w:name="_bookmark9"/>
      <w:bookmarkEnd w:id="10"/>
      <w:r w:rsidRPr="003948BA">
        <w:t xml:space="preserve">INVESTMENT OBJECTIVES, INVESTMENT POLICY, RESTRICTIONS, RISK DISCLOSURE </w:t>
      </w:r>
      <w:r w:rsidRPr="003948BA">
        <w:rPr>
          <w:spacing w:val="-5"/>
        </w:rPr>
        <w:t>AND</w:t>
      </w:r>
      <w:r w:rsidRPr="003948BA">
        <w:rPr>
          <w:spacing w:val="-6"/>
        </w:rPr>
        <w:t xml:space="preserve"> </w:t>
      </w:r>
      <w:r w:rsidRPr="003948BA">
        <w:t>DISCLAIMER</w:t>
      </w:r>
    </w:p>
    <w:p w:rsidR="005E5B48" w:rsidRPr="003948BA" w:rsidRDefault="005E5B48">
      <w:pPr>
        <w:pStyle w:val="BodyText"/>
        <w:rPr>
          <w:b/>
          <w:sz w:val="24"/>
        </w:rPr>
      </w:pPr>
    </w:p>
    <w:p w:rsidR="005E5B48" w:rsidRPr="003948BA" w:rsidRDefault="00814043" w:rsidP="00A002A6">
      <w:pPr>
        <w:pStyle w:val="Heading5"/>
        <w:numPr>
          <w:ilvl w:val="1"/>
          <w:numId w:val="39"/>
        </w:numPr>
        <w:tabs>
          <w:tab w:val="left" w:pos="2041"/>
          <w:tab w:val="left" w:pos="2042"/>
        </w:tabs>
        <w:ind w:left="2041" w:hanging="576"/>
      </w:pPr>
      <w:bookmarkStart w:id="11" w:name="_bookmark10"/>
      <w:bookmarkEnd w:id="11"/>
      <w:r w:rsidRPr="003948BA">
        <w:t>Investment</w:t>
      </w:r>
      <w:r w:rsidRPr="003948BA">
        <w:rPr>
          <w:spacing w:val="-7"/>
        </w:rPr>
        <w:t xml:space="preserve"> </w:t>
      </w:r>
      <w:r w:rsidRPr="003948BA">
        <w:t>Objective</w:t>
      </w:r>
    </w:p>
    <w:p w:rsidR="005E5B48" w:rsidRPr="003948BA" w:rsidRDefault="00814043">
      <w:pPr>
        <w:pStyle w:val="BodyText"/>
        <w:spacing w:before="101" w:line="292" w:lineRule="auto"/>
        <w:ind w:left="2000" w:right="1008"/>
        <w:jc w:val="both"/>
      </w:pPr>
      <w:r w:rsidRPr="003948BA">
        <w:t>AIFPF-I</w:t>
      </w:r>
      <w:r w:rsidR="00C52AE4">
        <w:t>V</w:t>
      </w:r>
      <w:r w:rsidRPr="003948BA">
        <w:t xml:space="preserve"> is an </w:t>
      </w:r>
      <w:r w:rsidR="007227C1">
        <w:t>o</w:t>
      </w:r>
      <w:r w:rsidRPr="003948BA">
        <w:t>pen-end Shariah Compliant Fund of funds Scheme</w:t>
      </w:r>
      <w:r w:rsidR="003A713E">
        <w:t xml:space="preserve"> </w:t>
      </w:r>
      <w:r w:rsidRPr="003948BA">
        <w:t xml:space="preserve">that aims to generate returns on Investment as per the </w:t>
      </w:r>
      <w:r w:rsidR="0016265A">
        <w:t xml:space="preserve">investment policy of the </w:t>
      </w:r>
      <w:r w:rsidRPr="003948BA">
        <w:t>respective Allocation Plan in line with the risk tolerance of the Investor.</w:t>
      </w:r>
    </w:p>
    <w:p w:rsidR="005E5B48" w:rsidRPr="003948BA" w:rsidRDefault="005E5B48">
      <w:pPr>
        <w:pStyle w:val="BodyText"/>
        <w:spacing w:before="4"/>
        <w:rPr>
          <w:sz w:val="21"/>
        </w:rPr>
      </w:pPr>
    </w:p>
    <w:p w:rsidR="005E5B48" w:rsidRPr="003948BA" w:rsidRDefault="00814043" w:rsidP="00A002A6">
      <w:pPr>
        <w:pStyle w:val="Heading5"/>
        <w:numPr>
          <w:ilvl w:val="1"/>
          <w:numId w:val="39"/>
        </w:numPr>
        <w:tabs>
          <w:tab w:val="left" w:pos="2041"/>
          <w:tab w:val="left" w:pos="2042"/>
        </w:tabs>
        <w:ind w:left="2041" w:hanging="576"/>
      </w:pPr>
      <w:bookmarkStart w:id="12" w:name="_bookmark11"/>
      <w:bookmarkEnd w:id="12"/>
      <w:r w:rsidRPr="003948BA">
        <w:t>Allocation</w:t>
      </w:r>
      <w:r w:rsidRPr="003948BA">
        <w:rPr>
          <w:spacing w:val="-7"/>
        </w:rPr>
        <w:t xml:space="preserve"> </w:t>
      </w:r>
      <w:r w:rsidRPr="003948BA">
        <w:t>Plans</w:t>
      </w:r>
    </w:p>
    <w:p w:rsidR="005E5B48" w:rsidRPr="003948BA" w:rsidRDefault="005E5B48">
      <w:pPr>
        <w:pStyle w:val="BodyText"/>
        <w:spacing w:before="6"/>
        <w:rPr>
          <w:b/>
          <w:sz w:val="27"/>
        </w:rPr>
      </w:pPr>
    </w:p>
    <w:p w:rsidR="005E5B48" w:rsidRPr="003948BA" w:rsidRDefault="00814043">
      <w:pPr>
        <w:pStyle w:val="BodyText"/>
        <w:ind w:left="2000"/>
      </w:pPr>
      <w:r w:rsidRPr="003948BA">
        <w:t>The following Allocation Plan</w:t>
      </w:r>
      <w:r w:rsidR="0016265A">
        <w:t xml:space="preserve"> i</w:t>
      </w:r>
      <w:r w:rsidRPr="003948BA">
        <w:t>s offered under this Offering Document:</w:t>
      </w:r>
    </w:p>
    <w:p w:rsidR="005E5B48" w:rsidRPr="003948BA" w:rsidRDefault="005E5B48">
      <w:pPr>
        <w:pStyle w:val="BodyText"/>
        <w:spacing w:before="10"/>
        <w:rPr>
          <w:sz w:val="19"/>
        </w:rPr>
      </w:pPr>
    </w:p>
    <w:p w:rsidR="005E5B48" w:rsidRPr="003948BA" w:rsidRDefault="00814043" w:rsidP="00D75B77">
      <w:pPr>
        <w:pStyle w:val="Heading5"/>
        <w:ind w:left="2041" w:firstLine="0"/>
      </w:pPr>
      <w:r w:rsidRPr="003948BA">
        <w:t xml:space="preserve">a) </w:t>
      </w:r>
      <w:r w:rsidR="00296052" w:rsidRPr="003948BA">
        <w:t xml:space="preserve">Al-Ameen Islamic Active </w:t>
      </w:r>
      <w:r w:rsidR="007227C1">
        <w:t>Allocation</w:t>
      </w:r>
      <w:r w:rsidR="00296052" w:rsidRPr="003948BA">
        <w:t xml:space="preserve"> Plan-</w:t>
      </w:r>
      <w:r w:rsidR="007227C1">
        <w:t>XIV</w:t>
      </w:r>
      <w:r w:rsidR="00296052" w:rsidRPr="003948BA">
        <w:t xml:space="preserve"> (</w:t>
      </w:r>
      <w:proofErr w:type="spellStart"/>
      <w:r w:rsidR="007227C1" w:rsidRPr="003948BA">
        <w:t>AIA</w:t>
      </w:r>
      <w:r w:rsidR="007227C1">
        <w:t>ctA</w:t>
      </w:r>
      <w:r w:rsidR="007227C1" w:rsidRPr="003948BA">
        <w:t>P</w:t>
      </w:r>
      <w:proofErr w:type="spellEnd"/>
      <w:r w:rsidR="00296052" w:rsidRPr="003948BA">
        <w:t>-</w:t>
      </w:r>
      <w:r w:rsidR="007227C1">
        <w:t>XIV</w:t>
      </w:r>
      <w:r w:rsidR="00296052" w:rsidRPr="003948BA">
        <w:t>)</w:t>
      </w:r>
    </w:p>
    <w:p w:rsidR="005E5B48" w:rsidRPr="003948BA" w:rsidRDefault="005E5B48">
      <w:pPr>
        <w:pStyle w:val="BodyText"/>
        <w:rPr>
          <w:b/>
          <w:sz w:val="22"/>
        </w:rPr>
      </w:pPr>
    </w:p>
    <w:p w:rsidR="005E5B48" w:rsidRPr="003948BA" w:rsidRDefault="00814043">
      <w:pPr>
        <w:pStyle w:val="BodyText"/>
        <w:spacing w:before="179"/>
        <w:ind w:left="2041" w:right="997"/>
        <w:jc w:val="both"/>
      </w:pPr>
      <w:r w:rsidRPr="003948BA">
        <w:t xml:space="preserve">The Management Company may provide additional and/or amend existing Allocation Plans with prior approval of the Commission, and may announce the same by Supplementary Offering Documents as covered in clause </w:t>
      </w:r>
      <w:r w:rsidR="00341ACE">
        <w:t>1.9.4</w:t>
      </w:r>
      <w:r w:rsidRPr="003948BA">
        <w:t>.</w:t>
      </w:r>
    </w:p>
    <w:p w:rsidR="005E5B48" w:rsidRPr="003948BA" w:rsidRDefault="005E5B48">
      <w:pPr>
        <w:pStyle w:val="BodyText"/>
        <w:rPr>
          <w:sz w:val="22"/>
        </w:rPr>
      </w:pPr>
    </w:p>
    <w:p w:rsidR="005E5B48" w:rsidRPr="003948BA" w:rsidRDefault="00814043" w:rsidP="00A002A6">
      <w:pPr>
        <w:pStyle w:val="Heading5"/>
        <w:numPr>
          <w:ilvl w:val="2"/>
          <w:numId w:val="39"/>
        </w:numPr>
        <w:tabs>
          <w:tab w:val="left" w:pos="2042"/>
        </w:tabs>
        <w:ind w:left="2041" w:hanging="631"/>
      </w:pPr>
      <w:r w:rsidRPr="003948BA">
        <w:t>Investment Objectives of Allocation</w:t>
      </w:r>
      <w:r w:rsidRPr="003948BA">
        <w:rPr>
          <w:spacing w:val="-4"/>
        </w:rPr>
        <w:t xml:space="preserve"> </w:t>
      </w:r>
      <w:r w:rsidRPr="003948BA">
        <w:t>Plans</w:t>
      </w:r>
    </w:p>
    <w:p w:rsidR="005E5B48" w:rsidRPr="003948BA" w:rsidRDefault="005E5B48">
      <w:pPr>
        <w:pStyle w:val="BodyText"/>
        <w:spacing w:before="6"/>
        <w:rPr>
          <w:b/>
          <w:sz w:val="25"/>
        </w:rPr>
      </w:pPr>
    </w:p>
    <w:p w:rsidR="005E5B48" w:rsidRPr="003948BA" w:rsidRDefault="00296052" w:rsidP="00F579EB">
      <w:pPr>
        <w:pStyle w:val="BodyText"/>
        <w:numPr>
          <w:ilvl w:val="0"/>
          <w:numId w:val="51"/>
        </w:numPr>
        <w:ind w:right="906"/>
        <w:jc w:val="both"/>
        <w:rPr>
          <w:sz w:val="22"/>
        </w:rPr>
      </w:pPr>
      <w:r w:rsidRPr="003948BA">
        <w:t xml:space="preserve">The </w:t>
      </w:r>
      <w:r w:rsidRPr="003948BA">
        <w:rPr>
          <w:b/>
        </w:rPr>
        <w:t xml:space="preserve">“Al-Ameen Islamic Active </w:t>
      </w:r>
      <w:r w:rsidR="007227C1">
        <w:rPr>
          <w:b/>
        </w:rPr>
        <w:t>Allocation</w:t>
      </w:r>
      <w:r w:rsidRPr="003948BA">
        <w:rPr>
          <w:b/>
        </w:rPr>
        <w:t xml:space="preserve"> Plan–</w:t>
      </w:r>
      <w:r w:rsidR="007227C1">
        <w:rPr>
          <w:b/>
        </w:rPr>
        <w:t>XI</w:t>
      </w:r>
      <w:r w:rsidR="0016265A">
        <w:rPr>
          <w:b/>
        </w:rPr>
        <w:t>V</w:t>
      </w:r>
      <w:r w:rsidRPr="003948BA">
        <w:rPr>
          <w:b/>
        </w:rPr>
        <w:t xml:space="preserve"> (</w:t>
      </w:r>
      <w:proofErr w:type="spellStart"/>
      <w:r w:rsidR="00B47515">
        <w:rPr>
          <w:b/>
        </w:rPr>
        <w:t>AIActAP</w:t>
      </w:r>
      <w:proofErr w:type="spellEnd"/>
      <w:r w:rsidR="00B47515">
        <w:rPr>
          <w:b/>
        </w:rPr>
        <w:t>-</w:t>
      </w:r>
      <w:r w:rsidR="007227C1">
        <w:rPr>
          <w:b/>
        </w:rPr>
        <w:t>XI</w:t>
      </w:r>
      <w:r w:rsidR="0016265A">
        <w:rPr>
          <w:b/>
        </w:rPr>
        <w:t>V</w:t>
      </w:r>
      <w:r w:rsidRPr="003948BA">
        <w:rPr>
          <w:b/>
        </w:rPr>
        <w:t>)”</w:t>
      </w:r>
      <w:r w:rsidRPr="003948BA">
        <w:t xml:space="preserve"> </w:t>
      </w:r>
      <w:r w:rsidR="007227C1" w:rsidRPr="00B651ED">
        <w:t>is an Islamic</w:t>
      </w:r>
      <w:r w:rsidR="00DC161C">
        <w:t xml:space="preserve"> Active</w:t>
      </w:r>
      <w:r w:rsidR="007227C1" w:rsidRPr="00B651ED">
        <w:t xml:space="preserve"> Allocation Plan under “Al-Ameen Islam</w:t>
      </w:r>
      <w:r w:rsidR="007227C1">
        <w:t>ic Financial Planning Fund - IV</w:t>
      </w:r>
      <w:r w:rsidR="007227C1" w:rsidRPr="00B651ED">
        <w:t xml:space="preserve">” with an objective to earn a potentially high return through active asset allocation between Islamic </w:t>
      </w:r>
      <w:r w:rsidR="007227C1">
        <w:t>Dedicated Equity Scheme, Islamic Income S</w:t>
      </w:r>
      <w:r w:rsidR="007227C1" w:rsidRPr="00B651ED">
        <w:t xml:space="preserve">cheme </w:t>
      </w:r>
      <w:r w:rsidR="007227C1">
        <w:t>and Islamic Money Market Scheme</w:t>
      </w:r>
      <w:r w:rsidR="007227C1" w:rsidRPr="00B651ED">
        <w:t xml:space="preserve"> based on the Fund Manager’s outlook on the asset classes.</w:t>
      </w:r>
    </w:p>
    <w:p w:rsidR="005E5B48" w:rsidRPr="003948BA" w:rsidRDefault="005E5B48">
      <w:pPr>
        <w:pStyle w:val="BodyText"/>
        <w:rPr>
          <w:sz w:val="22"/>
        </w:rPr>
      </w:pPr>
    </w:p>
    <w:p w:rsidR="005E5B48" w:rsidRPr="003948BA" w:rsidRDefault="00814043" w:rsidP="00A002A6">
      <w:pPr>
        <w:pStyle w:val="Heading5"/>
        <w:numPr>
          <w:ilvl w:val="2"/>
          <w:numId w:val="39"/>
        </w:numPr>
        <w:tabs>
          <w:tab w:val="left" w:pos="2096"/>
          <w:tab w:val="left" w:pos="2097"/>
        </w:tabs>
        <w:spacing w:before="185"/>
        <w:ind w:left="2096" w:hanging="686"/>
      </w:pPr>
      <w:r w:rsidRPr="003948BA">
        <w:t>“Allocation Plans” and underlying allocations to Mutual</w:t>
      </w:r>
      <w:r w:rsidRPr="003948BA">
        <w:rPr>
          <w:spacing w:val="-13"/>
        </w:rPr>
        <w:t xml:space="preserve"> </w:t>
      </w:r>
      <w:r w:rsidRPr="003948BA">
        <w:t>Funds:</w:t>
      </w:r>
    </w:p>
    <w:p w:rsidR="005E5B48" w:rsidRPr="003948BA" w:rsidRDefault="005E5B48">
      <w:pPr>
        <w:pStyle w:val="BodyText"/>
        <w:spacing w:before="1"/>
        <w:rPr>
          <w:b/>
          <w:sz w:val="21"/>
        </w:rPr>
      </w:pPr>
    </w:p>
    <w:p w:rsidR="005E5B48" w:rsidRPr="003948BA" w:rsidRDefault="00814043">
      <w:pPr>
        <w:pStyle w:val="BodyText"/>
        <w:ind w:left="2041" w:right="1013"/>
        <w:jc w:val="both"/>
      </w:pPr>
      <w:r w:rsidRPr="003948BA">
        <w:t>The indicative minimum allocation of the Allocation Plan to underlying Mutual Funds shall be as stated below:</w:t>
      </w:r>
    </w:p>
    <w:p w:rsidR="00294079" w:rsidRPr="003948BA" w:rsidRDefault="00294079">
      <w:pPr>
        <w:pStyle w:val="BodyText"/>
        <w:ind w:left="2041" w:right="1013"/>
        <w:jc w:val="both"/>
      </w:pPr>
    </w:p>
    <w:p w:rsidR="00294079" w:rsidRPr="003948BA" w:rsidRDefault="00294079" w:rsidP="00F579EB">
      <w:pPr>
        <w:pStyle w:val="BodyText"/>
        <w:numPr>
          <w:ilvl w:val="0"/>
          <w:numId w:val="49"/>
        </w:numPr>
        <w:ind w:right="1013"/>
        <w:jc w:val="both"/>
        <w:rPr>
          <w:b/>
        </w:rPr>
      </w:pPr>
      <w:r w:rsidRPr="003948BA">
        <w:rPr>
          <w:b/>
        </w:rPr>
        <w:t xml:space="preserve">For Al-Ameen Islamic Active </w:t>
      </w:r>
      <w:r w:rsidR="00BC576E">
        <w:rPr>
          <w:b/>
        </w:rPr>
        <w:t>Allocation</w:t>
      </w:r>
      <w:r w:rsidRPr="003948BA">
        <w:rPr>
          <w:b/>
        </w:rPr>
        <w:t xml:space="preserve"> Plan-</w:t>
      </w:r>
      <w:r w:rsidR="00BC576E">
        <w:rPr>
          <w:b/>
        </w:rPr>
        <w:t>XI</w:t>
      </w:r>
      <w:r w:rsidR="004142FE">
        <w:rPr>
          <w:b/>
        </w:rPr>
        <w:t>V</w:t>
      </w:r>
      <w:r w:rsidRPr="003948BA">
        <w:rPr>
          <w:b/>
        </w:rPr>
        <w:t xml:space="preserve"> (</w:t>
      </w:r>
      <w:proofErr w:type="spellStart"/>
      <w:r w:rsidR="00B13FE4">
        <w:rPr>
          <w:b/>
        </w:rPr>
        <w:t>AIActAP</w:t>
      </w:r>
      <w:proofErr w:type="spellEnd"/>
      <w:r w:rsidR="00B13FE4">
        <w:rPr>
          <w:b/>
        </w:rPr>
        <w:t>-XIV</w:t>
      </w:r>
      <w:r w:rsidRPr="003948BA">
        <w:rPr>
          <w:b/>
        </w:rPr>
        <w:t>)</w:t>
      </w:r>
    </w:p>
    <w:p w:rsidR="00BC576E" w:rsidRDefault="00BC576E" w:rsidP="00296052">
      <w:pPr>
        <w:pStyle w:val="ListParagraph"/>
        <w:tabs>
          <w:tab w:val="left" w:pos="360"/>
        </w:tabs>
        <w:adjustRightInd w:val="0"/>
        <w:ind w:left="360"/>
        <w:jc w:val="both"/>
        <w:rPr>
          <w:b/>
          <w:bCs/>
          <w:color w:val="000000"/>
          <w:sz w:val="24"/>
          <w:szCs w:val="19"/>
        </w:rPr>
      </w:pPr>
    </w:p>
    <w:tbl>
      <w:tblPr>
        <w:tblW w:w="0" w:type="auto"/>
        <w:jc w:val="right"/>
        <w:tblLayout w:type="fixed"/>
        <w:tblLook w:val="04A0" w:firstRow="1" w:lastRow="0" w:firstColumn="1" w:lastColumn="0" w:noHBand="0" w:noVBand="1"/>
      </w:tblPr>
      <w:tblGrid>
        <w:gridCol w:w="2700"/>
        <w:gridCol w:w="2250"/>
        <w:gridCol w:w="1890"/>
        <w:gridCol w:w="2528"/>
      </w:tblGrid>
      <w:tr w:rsidR="00BC576E" w:rsidRPr="0007666C" w:rsidTr="00B13FE4">
        <w:trPr>
          <w:trHeight w:val="367"/>
          <w:jc w:val="right"/>
        </w:trPr>
        <w:tc>
          <w:tcPr>
            <w:tcW w:w="2700" w:type="dxa"/>
            <w:tcBorders>
              <w:top w:val="single" w:sz="8" w:space="0" w:color="auto"/>
              <w:left w:val="single" w:sz="8" w:space="0" w:color="auto"/>
              <w:bottom w:val="single" w:sz="4" w:space="0" w:color="auto"/>
              <w:right w:val="single" w:sz="8" w:space="0" w:color="auto"/>
            </w:tcBorders>
            <w:shd w:val="clear" w:color="auto" w:fill="auto"/>
            <w:noWrap/>
            <w:hideMark/>
          </w:tcPr>
          <w:p w:rsidR="00BC576E" w:rsidRPr="00872B2A" w:rsidRDefault="00BC576E" w:rsidP="0048563C">
            <w:pPr>
              <w:jc w:val="center"/>
              <w:rPr>
                <w:b/>
                <w:bCs/>
                <w:color w:val="000000"/>
              </w:rPr>
            </w:pPr>
          </w:p>
        </w:tc>
        <w:tc>
          <w:tcPr>
            <w:tcW w:w="6668" w:type="dxa"/>
            <w:gridSpan w:val="3"/>
            <w:tcBorders>
              <w:top w:val="single" w:sz="8" w:space="0" w:color="auto"/>
              <w:left w:val="nil"/>
              <w:bottom w:val="single" w:sz="4" w:space="0" w:color="auto"/>
              <w:right w:val="single" w:sz="8" w:space="0" w:color="000000"/>
            </w:tcBorders>
            <w:shd w:val="clear" w:color="auto" w:fill="auto"/>
            <w:hideMark/>
          </w:tcPr>
          <w:p w:rsidR="00BC576E" w:rsidRPr="00872B2A" w:rsidRDefault="00BC576E" w:rsidP="0048563C">
            <w:pPr>
              <w:jc w:val="center"/>
              <w:rPr>
                <w:b/>
                <w:bCs/>
                <w:color w:val="000000"/>
              </w:rPr>
            </w:pPr>
            <w:r w:rsidRPr="00872B2A">
              <w:rPr>
                <w:b/>
                <w:bCs/>
                <w:color w:val="000000"/>
              </w:rPr>
              <w:t>Indicative % allocation invested in each CIS Category</w:t>
            </w:r>
          </w:p>
        </w:tc>
      </w:tr>
      <w:tr w:rsidR="00B13FE4" w:rsidRPr="0007666C" w:rsidTr="00B13FE4">
        <w:trPr>
          <w:trHeight w:val="818"/>
          <w:jc w:val="right"/>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C576E" w:rsidRPr="00872B2A" w:rsidRDefault="00BC576E" w:rsidP="00BC576E">
            <w:pPr>
              <w:jc w:val="center"/>
              <w:rPr>
                <w:b/>
                <w:bCs/>
                <w:color w:val="000000"/>
              </w:rPr>
            </w:pPr>
            <w:r w:rsidRPr="00872B2A">
              <w:rPr>
                <w:b/>
                <w:bCs/>
                <w:color w:val="000000"/>
              </w:rPr>
              <w:t>Allocation Plan</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rsidR="00BC576E" w:rsidRPr="00872B2A" w:rsidRDefault="00BC576E" w:rsidP="00DF2C33">
            <w:pPr>
              <w:jc w:val="center"/>
              <w:rPr>
                <w:b/>
                <w:bCs/>
                <w:color w:val="000000"/>
              </w:rPr>
            </w:pPr>
            <w:r>
              <w:rPr>
                <w:b/>
                <w:bCs/>
                <w:color w:val="000000"/>
              </w:rPr>
              <w:t>Islamic Dedicated Equity Scheme</w:t>
            </w:r>
          </w:p>
        </w:tc>
        <w:tc>
          <w:tcPr>
            <w:tcW w:w="1890" w:type="dxa"/>
            <w:tcBorders>
              <w:top w:val="single" w:sz="4" w:space="0" w:color="auto"/>
              <w:left w:val="nil"/>
              <w:bottom w:val="single" w:sz="4" w:space="0" w:color="auto"/>
              <w:right w:val="single" w:sz="8" w:space="0" w:color="auto"/>
            </w:tcBorders>
            <w:shd w:val="clear" w:color="auto" w:fill="auto"/>
            <w:vAlign w:val="center"/>
            <w:hideMark/>
          </w:tcPr>
          <w:p w:rsidR="00BC576E" w:rsidRPr="00872B2A" w:rsidRDefault="00BC576E" w:rsidP="00DF2C33">
            <w:pPr>
              <w:jc w:val="center"/>
              <w:rPr>
                <w:b/>
                <w:bCs/>
                <w:color w:val="000000"/>
              </w:rPr>
            </w:pPr>
            <w:r>
              <w:rPr>
                <w:b/>
                <w:bCs/>
                <w:color w:val="000000"/>
              </w:rPr>
              <w:t>Islamic Income Scheme</w:t>
            </w:r>
          </w:p>
        </w:tc>
        <w:tc>
          <w:tcPr>
            <w:tcW w:w="2528" w:type="dxa"/>
            <w:tcBorders>
              <w:top w:val="single" w:sz="4" w:space="0" w:color="auto"/>
              <w:left w:val="nil"/>
              <w:bottom w:val="single" w:sz="4" w:space="0" w:color="auto"/>
              <w:right w:val="single" w:sz="8" w:space="0" w:color="auto"/>
            </w:tcBorders>
            <w:shd w:val="clear" w:color="auto" w:fill="auto"/>
            <w:noWrap/>
            <w:vAlign w:val="center"/>
            <w:hideMark/>
          </w:tcPr>
          <w:p w:rsidR="00BC576E" w:rsidRPr="00872B2A" w:rsidRDefault="00BC576E" w:rsidP="00DF2C33">
            <w:pPr>
              <w:jc w:val="center"/>
              <w:rPr>
                <w:b/>
                <w:bCs/>
                <w:color w:val="000000"/>
              </w:rPr>
            </w:pPr>
            <w:r w:rsidRPr="00872B2A">
              <w:rPr>
                <w:b/>
                <w:bCs/>
                <w:color w:val="000000"/>
              </w:rPr>
              <w:t>Islamic Money Market</w:t>
            </w:r>
            <w:r>
              <w:rPr>
                <w:b/>
                <w:bCs/>
                <w:color w:val="000000"/>
              </w:rPr>
              <w:t xml:space="preserve"> Scheme</w:t>
            </w:r>
          </w:p>
        </w:tc>
      </w:tr>
      <w:tr w:rsidR="00B13FE4" w:rsidRPr="0007666C" w:rsidTr="00B13FE4">
        <w:trPr>
          <w:trHeight w:val="732"/>
          <w:jc w:val="right"/>
        </w:trPr>
        <w:tc>
          <w:tcPr>
            <w:tcW w:w="2700" w:type="dxa"/>
            <w:tcBorders>
              <w:top w:val="single" w:sz="4" w:space="0" w:color="auto"/>
              <w:left w:val="single" w:sz="8" w:space="0" w:color="auto"/>
              <w:bottom w:val="single" w:sz="8" w:space="0" w:color="auto"/>
              <w:right w:val="single" w:sz="8" w:space="0" w:color="auto"/>
            </w:tcBorders>
            <w:shd w:val="clear" w:color="auto" w:fill="auto"/>
            <w:vAlign w:val="center"/>
          </w:tcPr>
          <w:p w:rsidR="00BC576E" w:rsidRPr="00872B2A" w:rsidRDefault="00BC576E" w:rsidP="0048563C">
            <w:pPr>
              <w:jc w:val="center"/>
              <w:rPr>
                <w:bCs/>
                <w:color w:val="000000"/>
              </w:rPr>
            </w:pPr>
            <w:r w:rsidRPr="00872B2A">
              <w:rPr>
                <w:bCs/>
                <w:color w:val="000000"/>
              </w:rPr>
              <w:t xml:space="preserve">Al-Ameen Islamic Active Allocation Plan – </w:t>
            </w:r>
            <w:r>
              <w:rPr>
                <w:bCs/>
                <w:color w:val="000000"/>
              </w:rPr>
              <w:t>XIV</w:t>
            </w:r>
          </w:p>
        </w:tc>
        <w:tc>
          <w:tcPr>
            <w:tcW w:w="2250" w:type="dxa"/>
            <w:tcBorders>
              <w:top w:val="single" w:sz="4" w:space="0" w:color="auto"/>
              <w:left w:val="nil"/>
              <w:bottom w:val="single" w:sz="8" w:space="0" w:color="auto"/>
              <w:right w:val="single" w:sz="8" w:space="0" w:color="auto"/>
            </w:tcBorders>
            <w:shd w:val="clear" w:color="auto" w:fill="auto"/>
            <w:vAlign w:val="center"/>
          </w:tcPr>
          <w:p w:rsidR="00BC576E" w:rsidRPr="00872B2A" w:rsidRDefault="00BC576E" w:rsidP="0048563C">
            <w:pPr>
              <w:jc w:val="center"/>
              <w:rPr>
                <w:color w:val="000000"/>
              </w:rPr>
            </w:pPr>
            <w:r>
              <w:rPr>
                <w:color w:val="000000"/>
              </w:rPr>
              <w:t>0% - 100</w:t>
            </w:r>
            <w:r w:rsidRPr="00872B2A">
              <w:rPr>
                <w:color w:val="000000"/>
              </w:rPr>
              <w:t>%</w:t>
            </w:r>
          </w:p>
        </w:tc>
        <w:tc>
          <w:tcPr>
            <w:tcW w:w="1890" w:type="dxa"/>
            <w:tcBorders>
              <w:top w:val="single" w:sz="4" w:space="0" w:color="auto"/>
              <w:left w:val="nil"/>
              <w:bottom w:val="single" w:sz="8" w:space="0" w:color="auto"/>
              <w:right w:val="single" w:sz="8" w:space="0" w:color="auto"/>
            </w:tcBorders>
            <w:shd w:val="clear" w:color="auto" w:fill="auto"/>
            <w:vAlign w:val="center"/>
          </w:tcPr>
          <w:p w:rsidR="00BC576E" w:rsidRPr="00872B2A" w:rsidRDefault="00BC576E" w:rsidP="0048563C">
            <w:pPr>
              <w:jc w:val="center"/>
              <w:rPr>
                <w:color w:val="000000"/>
              </w:rPr>
            </w:pPr>
            <w:r>
              <w:rPr>
                <w:color w:val="000000"/>
              </w:rPr>
              <w:t>0% - 100</w:t>
            </w:r>
            <w:r w:rsidRPr="00872B2A">
              <w:rPr>
                <w:color w:val="000000"/>
              </w:rPr>
              <w:t>%</w:t>
            </w:r>
          </w:p>
        </w:tc>
        <w:tc>
          <w:tcPr>
            <w:tcW w:w="2528" w:type="dxa"/>
            <w:tcBorders>
              <w:top w:val="single" w:sz="4" w:space="0" w:color="auto"/>
              <w:left w:val="nil"/>
              <w:bottom w:val="single" w:sz="4" w:space="0" w:color="auto"/>
              <w:right w:val="single" w:sz="8" w:space="0" w:color="auto"/>
            </w:tcBorders>
            <w:shd w:val="clear" w:color="auto" w:fill="auto"/>
            <w:noWrap/>
            <w:vAlign w:val="center"/>
          </w:tcPr>
          <w:p w:rsidR="00BC576E" w:rsidRPr="00872B2A" w:rsidRDefault="00BC576E" w:rsidP="0048563C">
            <w:pPr>
              <w:jc w:val="center"/>
              <w:rPr>
                <w:color w:val="000000"/>
              </w:rPr>
            </w:pPr>
            <w:r>
              <w:rPr>
                <w:color w:val="000000"/>
              </w:rPr>
              <w:t>0</w:t>
            </w:r>
            <w:r w:rsidRPr="00872B2A">
              <w:rPr>
                <w:color w:val="000000"/>
              </w:rPr>
              <w:t>% - 100%</w:t>
            </w:r>
          </w:p>
        </w:tc>
      </w:tr>
    </w:tbl>
    <w:p w:rsidR="00BC576E" w:rsidRDefault="00BC576E" w:rsidP="00296052">
      <w:pPr>
        <w:pStyle w:val="ListParagraph"/>
        <w:tabs>
          <w:tab w:val="left" w:pos="360"/>
        </w:tabs>
        <w:adjustRightInd w:val="0"/>
        <w:ind w:left="360"/>
        <w:jc w:val="both"/>
        <w:rPr>
          <w:b/>
          <w:bCs/>
          <w:color w:val="000000"/>
          <w:sz w:val="24"/>
          <w:szCs w:val="19"/>
        </w:rPr>
      </w:pPr>
    </w:p>
    <w:p w:rsidR="00BC576E" w:rsidRDefault="00BC576E" w:rsidP="00BC576E">
      <w:pPr>
        <w:adjustRightInd w:val="0"/>
        <w:ind w:left="2160"/>
        <w:rPr>
          <w:iCs/>
          <w:szCs w:val="20"/>
        </w:rPr>
      </w:pPr>
      <w:r w:rsidRPr="00F34881">
        <w:rPr>
          <w:b/>
          <w:u w:val="single"/>
        </w:rPr>
        <w:t>Note:</w:t>
      </w:r>
      <w:r>
        <w:rPr>
          <w:b/>
          <w:u w:val="single"/>
        </w:rPr>
        <w:t xml:space="preserve"> </w:t>
      </w:r>
      <w:r w:rsidRPr="004D5395">
        <w:rPr>
          <w:iCs/>
          <w:szCs w:val="20"/>
        </w:rPr>
        <w:t xml:space="preserve">The actual allocation percentages may vary on account of market factors and investments in </w:t>
      </w:r>
      <w:r w:rsidRPr="001961E1">
        <w:rPr>
          <w:iCs/>
          <w:szCs w:val="20"/>
        </w:rPr>
        <w:t xml:space="preserve">cash in bank accounts as permitted for the Fund of Funds Category, as per SECP </w:t>
      </w:r>
      <w:r w:rsidRPr="00410C67">
        <w:rPr>
          <w:iCs/>
          <w:szCs w:val="20"/>
        </w:rPr>
        <w:t>directive from time to time.</w:t>
      </w:r>
    </w:p>
    <w:p w:rsidR="00B13FE4" w:rsidRDefault="00B13FE4" w:rsidP="00BC576E">
      <w:pPr>
        <w:adjustRightInd w:val="0"/>
        <w:ind w:left="2160"/>
        <w:rPr>
          <w:iCs/>
          <w:szCs w:val="20"/>
        </w:rPr>
      </w:pPr>
    </w:p>
    <w:p w:rsidR="005E5B48" w:rsidRPr="003948BA" w:rsidRDefault="00814043" w:rsidP="00A002A6">
      <w:pPr>
        <w:pStyle w:val="ListParagraph"/>
        <w:numPr>
          <w:ilvl w:val="2"/>
          <w:numId w:val="39"/>
        </w:numPr>
        <w:tabs>
          <w:tab w:val="left" w:pos="2042"/>
        </w:tabs>
        <w:spacing w:before="185" w:line="242" w:lineRule="auto"/>
        <w:ind w:left="2041" w:right="1010" w:hanging="631"/>
        <w:jc w:val="both"/>
        <w:rPr>
          <w:sz w:val="20"/>
        </w:rPr>
      </w:pPr>
      <w:r w:rsidRPr="003948BA">
        <w:rPr>
          <w:b/>
          <w:sz w:val="20"/>
        </w:rPr>
        <w:t xml:space="preserve">Approved “Collective Investment Schemes”: </w:t>
      </w:r>
      <w:r w:rsidRPr="003948BA">
        <w:rPr>
          <w:sz w:val="20"/>
        </w:rPr>
        <w:t>Following table provides the list of Collective Investment Schemes of various categories in which the Allocation Plans may invest, as per their</w:t>
      </w:r>
      <w:r w:rsidRPr="003948BA">
        <w:rPr>
          <w:spacing w:val="-15"/>
          <w:sz w:val="20"/>
        </w:rPr>
        <w:t xml:space="preserve"> </w:t>
      </w:r>
      <w:r w:rsidRPr="003948BA">
        <w:rPr>
          <w:sz w:val="20"/>
        </w:rPr>
        <w:t>objectives:</w:t>
      </w:r>
    </w:p>
    <w:p w:rsidR="007136AD" w:rsidRPr="003948BA" w:rsidRDefault="007136AD">
      <w:pPr>
        <w:rPr>
          <w:sz w:val="29"/>
          <w:szCs w:val="20"/>
        </w:rPr>
      </w:pPr>
      <w:r w:rsidRPr="003948BA">
        <w:rPr>
          <w:sz w:val="29"/>
        </w:rPr>
        <w:br w:type="page"/>
      </w:r>
    </w:p>
    <w:p w:rsidR="005E5B48" w:rsidRPr="003948BA" w:rsidRDefault="005E5B48" w:rsidP="00677D25">
      <w:pPr>
        <w:pStyle w:val="BodyText"/>
        <w:spacing w:before="4"/>
        <w:jc w:val="center"/>
        <w:rPr>
          <w:sz w:val="29"/>
        </w:rPr>
      </w:pP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7"/>
        <w:gridCol w:w="2854"/>
        <w:gridCol w:w="3319"/>
      </w:tblGrid>
      <w:tr w:rsidR="00677D25" w:rsidRPr="003948BA" w:rsidTr="00B13FE4">
        <w:trPr>
          <w:trHeight w:val="491"/>
        </w:trPr>
        <w:tc>
          <w:tcPr>
            <w:tcW w:w="0" w:type="auto"/>
            <w:gridSpan w:val="3"/>
          </w:tcPr>
          <w:p w:rsidR="00677D25" w:rsidRPr="003948BA" w:rsidRDefault="00677D25" w:rsidP="00677D25">
            <w:pPr>
              <w:pStyle w:val="TableParagraph"/>
              <w:spacing w:before="112"/>
              <w:jc w:val="center"/>
              <w:rPr>
                <w:b/>
              </w:rPr>
            </w:pPr>
            <w:r w:rsidRPr="003948BA">
              <w:rPr>
                <w:b/>
              </w:rPr>
              <w:t xml:space="preserve">Al-Ameen Islamic Active </w:t>
            </w:r>
            <w:r w:rsidR="00BC576E">
              <w:rPr>
                <w:b/>
              </w:rPr>
              <w:t>Allocation</w:t>
            </w:r>
            <w:r w:rsidRPr="003948BA">
              <w:rPr>
                <w:b/>
              </w:rPr>
              <w:t xml:space="preserve"> Plan-</w:t>
            </w:r>
            <w:r w:rsidR="00BC576E">
              <w:rPr>
                <w:b/>
              </w:rPr>
              <w:t>XI</w:t>
            </w:r>
            <w:r w:rsidR="004142FE">
              <w:rPr>
                <w:b/>
              </w:rPr>
              <w:t>V</w:t>
            </w:r>
            <w:r w:rsidRPr="003948BA">
              <w:rPr>
                <w:b/>
              </w:rPr>
              <w:t xml:space="preserve"> (</w:t>
            </w:r>
            <w:proofErr w:type="spellStart"/>
            <w:r w:rsidR="00B13FE4">
              <w:rPr>
                <w:b/>
              </w:rPr>
              <w:t>AIActAP</w:t>
            </w:r>
            <w:proofErr w:type="spellEnd"/>
            <w:r w:rsidR="00B13FE4">
              <w:rPr>
                <w:b/>
              </w:rPr>
              <w:t>-XIV</w:t>
            </w:r>
            <w:r w:rsidRPr="003948BA">
              <w:rPr>
                <w:b/>
              </w:rPr>
              <w:t>)</w:t>
            </w:r>
          </w:p>
          <w:p w:rsidR="00677D25" w:rsidRPr="003948BA" w:rsidRDefault="00677D25" w:rsidP="00677D25">
            <w:pPr>
              <w:pStyle w:val="TableParagraph"/>
              <w:spacing w:before="112"/>
              <w:jc w:val="center"/>
              <w:rPr>
                <w:b/>
                <w:sz w:val="20"/>
              </w:rPr>
            </w:pPr>
            <w:r w:rsidRPr="003948BA">
              <w:rPr>
                <w:b/>
                <w:sz w:val="20"/>
              </w:rPr>
              <w:t>Categories of Collective Investment Schemes</w:t>
            </w:r>
          </w:p>
        </w:tc>
      </w:tr>
      <w:tr w:rsidR="00677D25" w:rsidRPr="003948BA" w:rsidTr="00B13FE4">
        <w:trPr>
          <w:trHeight w:val="647"/>
        </w:trPr>
        <w:tc>
          <w:tcPr>
            <w:tcW w:w="0" w:type="auto"/>
            <w:vAlign w:val="center"/>
          </w:tcPr>
          <w:p w:rsidR="00677D25" w:rsidRPr="003948BA" w:rsidRDefault="00677D25" w:rsidP="00B13FE4">
            <w:pPr>
              <w:pStyle w:val="TableParagraph"/>
              <w:spacing w:before="9" w:line="228" w:lineRule="exact"/>
              <w:ind w:left="0"/>
              <w:jc w:val="center"/>
              <w:rPr>
                <w:b/>
                <w:sz w:val="20"/>
              </w:rPr>
            </w:pPr>
            <w:r w:rsidRPr="003948BA">
              <w:rPr>
                <w:b/>
                <w:sz w:val="20"/>
              </w:rPr>
              <w:t>Islamic Money</w:t>
            </w:r>
            <w:r w:rsidR="00FC3494">
              <w:rPr>
                <w:b/>
                <w:sz w:val="20"/>
              </w:rPr>
              <w:t xml:space="preserve"> </w:t>
            </w:r>
            <w:r w:rsidRPr="003948BA">
              <w:rPr>
                <w:b/>
                <w:sz w:val="20"/>
              </w:rPr>
              <w:t>Market</w:t>
            </w:r>
            <w:r w:rsidR="00BC576E">
              <w:rPr>
                <w:b/>
                <w:sz w:val="20"/>
              </w:rPr>
              <w:t xml:space="preserve"> Scheme</w:t>
            </w:r>
          </w:p>
        </w:tc>
        <w:tc>
          <w:tcPr>
            <w:tcW w:w="0" w:type="auto"/>
            <w:vAlign w:val="center"/>
          </w:tcPr>
          <w:p w:rsidR="00677D25" w:rsidRPr="003948BA" w:rsidRDefault="00677D25" w:rsidP="00BC576E">
            <w:pPr>
              <w:pStyle w:val="TableParagraph"/>
              <w:spacing w:before="117"/>
              <w:ind w:left="0"/>
              <w:jc w:val="center"/>
              <w:rPr>
                <w:b/>
                <w:sz w:val="20"/>
              </w:rPr>
            </w:pPr>
            <w:r w:rsidRPr="003948BA">
              <w:rPr>
                <w:b/>
                <w:sz w:val="20"/>
              </w:rPr>
              <w:t>Islamic Income</w:t>
            </w:r>
            <w:r w:rsidR="00BC576E">
              <w:rPr>
                <w:b/>
                <w:sz w:val="20"/>
              </w:rPr>
              <w:t xml:space="preserve"> Scheme</w:t>
            </w:r>
          </w:p>
        </w:tc>
        <w:tc>
          <w:tcPr>
            <w:tcW w:w="0" w:type="auto"/>
            <w:vAlign w:val="center"/>
          </w:tcPr>
          <w:p w:rsidR="00677D25" w:rsidRPr="003948BA" w:rsidRDefault="00677D25" w:rsidP="00DF2C33">
            <w:pPr>
              <w:pStyle w:val="TableParagraph"/>
              <w:spacing w:before="117"/>
              <w:ind w:left="257"/>
              <w:jc w:val="center"/>
              <w:rPr>
                <w:b/>
                <w:sz w:val="20"/>
              </w:rPr>
            </w:pPr>
            <w:r w:rsidRPr="003948BA">
              <w:rPr>
                <w:b/>
                <w:sz w:val="20"/>
              </w:rPr>
              <w:t xml:space="preserve">Islamic </w:t>
            </w:r>
            <w:r w:rsidR="002764CE">
              <w:rPr>
                <w:b/>
                <w:sz w:val="20"/>
              </w:rPr>
              <w:t xml:space="preserve">Dedicated </w:t>
            </w:r>
            <w:r w:rsidRPr="003948BA">
              <w:rPr>
                <w:b/>
                <w:sz w:val="20"/>
              </w:rPr>
              <w:t>Equity</w:t>
            </w:r>
            <w:r w:rsidR="00BC576E">
              <w:rPr>
                <w:b/>
                <w:sz w:val="20"/>
              </w:rPr>
              <w:t xml:space="preserve"> Scheme</w:t>
            </w:r>
          </w:p>
        </w:tc>
      </w:tr>
      <w:tr w:rsidR="00677D25" w:rsidRPr="003948BA" w:rsidTr="00B13FE4">
        <w:trPr>
          <w:trHeight w:val="1087"/>
        </w:trPr>
        <w:tc>
          <w:tcPr>
            <w:tcW w:w="0" w:type="auto"/>
          </w:tcPr>
          <w:p w:rsidR="00677D25" w:rsidRPr="003948BA" w:rsidRDefault="00677D25" w:rsidP="00677D25">
            <w:pPr>
              <w:pStyle w:val="TableParagraph"/>
              <w:spacing w:before="172"/>
              <w:ind w:left="117" w:right="291"/>
              <w:jc w:val="center"/>
              <w:rPr>
                <w:sz w:val="20"/>
              </w:rPr>
            </w:pPr>
            <w:r w:rsidRPr="003948BA">
              <w:rPr>
                <w:sz w:val="20"/>
              </w:rPr>
              <w:t>Al-Ameen Islamic Cash Fund</w:t>
            </w:r>
          </w:p>
        </w:tc>
        <w:tc>
          <w:tcPr>
            <w:tcW w:w="0" w:type="auto"/>
          </w:tcPr>
          <w:p w:rsidR="00677D25" w:rsidRPr="003948BA" w:rsidRDefault="00677D25" w:rsidP="00FC3494">
            <w:pPr>
              <w:pStyle w:val="TableParagraph"/>
              <w:spacing w:before="172"/>
              <w:ind w:left="141" w:right="186" w:firstLine="5"/>
              <w:jc w:val="center"/>
              <w:rPr>
                <w:sz w:val="20"/>
              </w:rPr>
            </w:pPr>
            <w:r w:rsidRPr="003948BA">
              <w:rPr>
                <w:sz w:val="20"/>
              </w:rPr>
              <w:t>Al-Ameen Islamic Sovereign</w:t>
            </w:r>
            <w:r w:rsidRPr="003948BA">
              <w:rPr>
                <w:spacing w:val="-7"/>
                <w:sz w:val="20"/>
              </w:rPr>
              <w:t xml:space="preserve"> </w:t>
            </w:r>
            <w:r w:rsidRPr="003948BA">
              <w:rPr>
                <w:sz w:val="20"/>
              </w:rPr>
              <w:t>Fund</w:t>
            </w:r>
          </w:p>
        </w:tc>
        <w:tc>
          <w:tcPr>
            <w:tcW w:w="0" w:type="auto"/>
          </w:tcPr>
          <w:p w:rsidR="00677D25" w:rsidRPr="003948BA" w:rsidRDefault="00677D25" w:rsidP="00677D25">
            <w:pPr>
              <w:pStyle w:val="TableParagraph"/>
              <w:spacing w:before="172"/>
              <w:ind w:left="173" w:right="150" w:hanging="3"/>
              <w:jc w:val="center"/>
              <w:rPr>
                <w:sz w:val="20"/>
              </w:rPr>
            </w:pPr>
            <w:r w:rsidRPr="003948BA">
              <w:rPr>
                <w:sz w:val="20"/>
              </w:rPr>
              <w:t>Al-Ameen Islamic Dedicated Equity Fund</w:t>
            </w:r>
          </w:p>
        </w:tc>
      </w:tr>
    </w:tbl>
    <w:p w:rsidR="00677D25" w:rsidRPr="003948BA" w:rsidRDefault="00677D25">
      <w:pPr>
        <w:pStyle w:val="BodyText"/>
        <w:spacing w:before="4"/>
        <w:rPr>
          <w:sz w:val="29"/>
        </w:rPr>
      </w:pPr>
    </w:p>
    <w:p w:rsidR="005E5B48" w:rsidRPr="003948BA" w:rsidRDefault="005E5B48">
      <w:pPr>
        <w:pStyle w:val="BodyText"/>
        <w:spacing w:before="2"/>
        <w:rPr>
          <w:sz w:val="21"/>
        </w:rPr>
      </w:pPr>
    </w:p>
    <w:p w:rsidR="005E5B48" w:rsidRPr="003948BA" w:rsidRDefault="00814043" w:rsidP="00A002A6">
      <w:pPr>
        <w:pStyle w:val="ListParagraph"/>
        <w:numPr>
          <w:ilvl w:val="2"/>
          <w:numId w:val="39"/>
        </w:numPr>
        <w:tabs>
          <w:tab w:val="left" w:pos="2042"/>
        </w:tabs>
        <w:spacing w:before="1"/>
        <w:ind w:left="2041" w:right="1012" w:hanging="631"/>
        <w:jc w:val="both"/>
        <w:rPr>
          <w:sz w:val="20"/>
        </w:rPr>
      </w:pPr>
      <w:r w:rsidRPr="003948BA">
        <w:rPr>
          <w:sz w:val="20"/>
        </w:rPr>
        <w:t>The Allocation Plans under this Scheme shall invest only in permissible Shariah Compliant Collective Investment Schemes (clause 2.2.3) or in cash and/ or near cash instruments, as per the CIS categories and percentages defined in table in clause 2.2.2, and as approved by the Commission and Shariah</w:t>
      </w:r>
      <w:r w:rsidRPr="003948BA">
        <w:rPr>
          <w:spacing w:val="-14"/>
          <w:sz w:val="20"/>
        </w:rPr>
        <w:t xml:space="preserve"> </w:t>
      </w:r>
      <w:r w:rsidRPr="003948BA">
        <w:rPr>
          <w:sz w:val="20"/>
        </w:rPr>
        <w:t>Advisor.</w:t>
      </w:r>
    </w:p>
    <w:p w:rsidR="005E5B48" w:rsidRPr="003948BA" w:rsidRDefault="005E5B48">
      <w:pPr>
        <w:pStyle w:val="BodyText"/>
        <w:spacing w:before="4"/>
      </w:pPr>
    </w:p>
    <w:p w:rsidR="005E5B48" w:rsidRPr="003948BA" w:rsidRDefault="00814043" w:rsidP="00A002A6">
      <w:pPr>
        <w:pStyle w:val="Heading5"/>
        <w:numPr>
          <w:ilvl w:val="2"/>
          <w:numId w:val="39"/>
        </w:numPr>
        <w:tabs>
          <w:tab w:val="left" w:pos="2042"/>
        </w:tabs>
        <w:ind w:left="2041" w:hanging="631"/>
        <w:rPr>
          <w:b w:val="0"/>
        </w:rPr>
      </w:pPr>
      <w:r w:rsidRPr="003948BA">
        <w:t>The Benchmarks of Allocation Plans are as</w:t>
      </w:r>
      <w:r w:rsidRPr="003948BA">
        <w:rPr>
          <w:spacing w:val="-10"/>
        </w:rPr>
        <w:t xml:space="preserve"> </w:t>
      </w:r>
      <w:r w:rsidRPr="003948BA">
        <w:t>follows</w:t>
      </w:r>
      <w:r w:rsidRPr="003948BA">
        <w:rPr>
          <w:b w:val="0"/>
        </w:rPr>
        <w:t>:</w:t>
      </w:r>
    </w:p>
    <w:p w:rsidR="00BC576E" w:rsidRDefault="00BC576E">
      <w:pPr>
        <w:pStyle w:val="BodyText"/>
        <w:spacing w:before="10"/>
        <w:rPr>
          <w:sz w:val="12"/>
        </w:rPr>
      </w:pPr>
    </w:p>
    <w:tbl>
      <w:tblPr>
        <w:tblW w:w="5960" w:type="dxa"/>
        <w:jc w:val="center"/>
        <w:tblLook w:val="04A0" w:firstRow="1" w:lastRow="0" w:firstColumn="1" w:lastColumn="0" w:noHBand="0" w:noVBand="1"/>
      </w:tblPr>
      <w:tblGrid>
        <w:gridCol w:w="3520"/>
        <w:gridCol w:w="2440"/>
      </w:tblGrid>
      <w:tr w:rsidR="00BC576E" w:rsidRPr="000D27EA" w:rsidTr="0048563C">
        <w:trPr>
          <w:trHeight w:val="300"/>
          <w:jc w:val="center"/>
        </w:trPr>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76E" w:rsidRPr="000D27EA" w:rsidRDefault="00BC576E" w:rsidP="0048563C">
            <w:pPr>
              <w:jc w:val="center"/>
              <w:rPr>
                <w:rFonts w:ascii="Times New Roman" w:eastAsia="Times New Roman" w:hAnsi="Times New Roman" w:cs="Times New Roman"/>
                <w:b/>
                <w:bCs/>
                <w:color w:val="231F20"/>
              </w:rPr>
            </w:pPr>
            <w:r w:rsidRPr="000D27EA">
              <w:rPr>
                <w:rFonts w:ascii="Times New Roman" w:eastAsia="Times New Roman" w:hAnsi="Times New Roman" w:cs="Times New Roman"/>
                <w:b/>
                <w:bCs/>
                <w:color w:val="231F20"/>
              </w:rPr>
              <w:t xml:space="preserve">Benchmark of </w:t>
            </w:r>
            <w:proofErr w:type="spellStart"/>
            <w:r w:rsidRPr="000D27EA">
              <w:rPr>
                <w:rFonts w:ascii="Times New Roman" w:eastAsia="Times New Roman" w:hAnsi="Times New Roman" w:cs="Times New Roman"/>
                <w:b/>
                <w:bCs/>
                <w:color w:val="231F20"/>
              </w:rPr>
              <w:t>AIActAP</w:t>
            </w:r>
            <w:proofErr w:type="spellEnd"/>
            <w:r w:rsidRPr="000D27EA">
              <w:rPr>
                <w:rFonts w:ascii="Times New Roman" w:eastAsia="Times New Roman" w:hAnsi="Times New Roman" w:cs="Times New Roman"/>
                <w:b/>
                <w:bCs/>
                <w:color w:val="231F20"/>
              </w:rPr>
              <w:t>-XI</w:t>
            </w:r>
            <w:r>
              <w:rPr>
                <w:rFonts w:ascii="Times New Roman" w:eastAsia="Times New Roman" w:hAnsi="Times New Roman" w:cs="Times New Roman"/>
                <w:b/>
                <w:bCs/>
                <w:color w:val="231F20"/>
              </w:rPr>
              <w:t>V</w:t>
            </w:r>
          </w:p>
        </w:tc>
      </w:tr>
      <w:tr w:rsidR="00BC576E" w:rsidRPr="000D27EA" w:rsidTr="0048563C">
        <w:trPr>
          <w:trHeight w:val="300"/>
          <w:jc w:val="center"/>
        </w:trPr>
        <w:tc>
          <w:tcPr>
            <w:tcW w:w="5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76E" w:rsidRPr="000D27EA" w:rsidRDefault="00BC576E" w:rsidP="0048563C">
            <w:pPr>
              <w:jc w:val="center"/>
              <w:rPr>
                <w:rFonts w:ascii="Times New Roman" w:eastAsia="Times New Roman" w:hAnsi="Times New Roman" w:cs="Times New Roman"/>
                <w:b/>
                <w:bCs/>
                <w:color w:val="231F20"/>
              </w:rPr>
            </w:pPr>
            <w:r w:rsidRPr="000D27EA">
              <w:rPr>
                <w:rFonts w:ascii="Times New Roman" w:eastAsia="Times New Roman" w:hAnsi="Times New Roman" w:cs="Times New Roman"/>
                <w:b/>
                <w:bCs/>
                <w:color w:val="231F20"/>
              </w:rPr>
              <w:t>Weighted Average of below</w:t>
            </w:r>
            <w:r w:rsidR="00DC161C">
              <w:rPr>
                <w:rFonts w:ascii="Times New Roman" w:eastAsia="Times New Roman" w:hAnsi="Times New Roman" w:cs="Times New Roman"/>
                <w:b/>
                <w:bCs/>
                <w:color w:val="231F20"/>
              </w:rPr>
              <w:t xml:space="preserve"> on the basis of actual proportion held by the plan</w:t>
            </w:r>
          </w:p>
        </w:tc>
      </w:tr>
      <w:tr w:rsidR="00BC576E" w:rsidRPr="000D27EA" w:rsidTr="0048563C">
        <w:trPr>
          <w:trHeight w:val="1485"/>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BC576E" w:rsidRPr="000D27EA" w:rsidRDefault="00BC576E" w:rsidP="0048563C">
            <w:pPr>
              <w:jc w:val="both"/>
              <w:rPr>
                <w:rFonts w:ascii="Times New Roman" w:eastAsia="Times New Roman" w:hAnsi="Times New Roman" w:cs="Times New Roman"/>
                <w:b/>
                <w:bCs/>
                <w:color w:val="231F20"/>
              </w:rPr>
            </w:pPr>
            <w:r w:rsidRPr="000D27EA">
              <w:rPr>
                <w:rFonts w:ascii="Times New Roman" w:eastAsia="Times New Roman" w:hAnsi="Times New Roman" w:cs="Times New Roman"/>
                <w:b/>
                <w:bCs/>
                <w:color w:val="231F20"/>
              </w:rPr>
              <w:t xml:space="preserve">Three (3) months average deposit rates of three (3) AA rated </w:t>
            </w:r>
            <w:proofErr w:type="spellStart"/>
            <w:r w:rsidRPr="000D27EA">
              <w:rPr>
                <w:rFonts w:ascii="Times New Roman" w:eastAsia="Times New Roman" w:hAnsi="Times New Roman" w:cs="Times New Roman"/>
                <w:color w:val="231F20"/>
              </w:rPr>
              <w:t>islamic</w:t>
            </w:r>
            <w:proofErr w:type="spellEnd"/>
            <w:r w:rsidRPr="000D27EA">
              <w:rPr>
                <w:rFonts w:ascii="Times New Roman" w:eastAsia="Times New Roman" w:hAnsi="Times New Roman" w:cs="Times New Roman"/>
                <w:color w:val="231F20"/>
              </w:rPr>
              <w:t xml:space="preserve"> banks or </w:t>
            </w:r>
            <w:proofErr w:type="spellStart"/>
            <w:r w:rsidRPr="000D27EA">
              <w:rPr>
                <w:rFonts w:ascii="Times New Roman" w:eastAsia="Times New Roman" w:hAnsi="Times New Roman" w:cs="Times New Roman"/>
                <w:color w:val="231F20"/>
              </w:rPr>
              <w:t>islamic</w:t>
            </w:r>
            <w:proofErr w:type="spellEnd"/>
            <w:r w:rsidRPr="000D27EA">
              <w:rPr>
                <w:rFonts w:ascii="Times New Roman" w:eastAsia="Times New Roman" w:hAnsi="Times New Roman" w:cs="Times New Roman"/>
                <w:color w:val="231F20"/>
              </w:rPr>
              <w:t xml:space="preserve"> windows of conventional banks as selected by MUFAP</w:t>
            </w:r>
          </w:p>
        </w:tc>
        <w:tc>
          <w:tcPr>
            <w:tcW w:w="2440" w:type="dxa"/>
            <w:tcBorders>
              <w:top w:val="nil"/>
              <w:left w:val="nil"/>
              <w:bottom w:val="single" w:sz="4" w:space="0" w:color="auto"/>
              <w:right w:val="single" w:sz="4" w:space="0" w:color="auto"/>
            </w:tcBorders>
            <w:shd w:val="clear" w:color="auto" w:fill="auto"/>
            <w:vAlign w:val="center"/>
            <w:hideMark/>
          </w:tcPr>
          <w:p w:rsidR="00BC576E" w:rsidRPr="000D27EA" w:rsidRDefault="00BC576E" w:rsidP="0048563C">
            <w:pPr>
              <w:jc w:val="center"/>
              <w:rPr>
                <w:rFonts w:ascii="Times New Roman" w:eastAsia="Times New Roman" w:hAnsi="Times New Roman" w:cs="Times New Roman"/>
                <w:color w:val="231F20"/>
              </w:rPr>
            </w:pPr>
            <w:r w:rsidRPr="000D27EA">
              <w:rPr>
                <w:rFonts w:ascii="Times New Roman" w:eastAsia="Times New Roman" w:hAnsi="Times New Roman" w:cs="Times New Roman"/>
                <w:color w:val="231F20"/>
              </w:rPr>
              <w:t>Islamic Money Market</w:t>
            </w:r>
            <w:r w:rsidRPr="000D27EA">
              <w:rPr>
                <w:rFonts w:ascii="Times New Roman" w:eastAsia="Times New Roman" w:hAnsi="Times New Roman" w:cs="Times New Roman"/>
                <w:color w:val="231F20"/>
              </w:rPr>
              <w:br/>
              <w:t>Scheme</w:t>
            </w:r>
          </w:p>
        </w:tc>
      </w:tr>
      <w:tr w:rsidR="00BC576E" w:rsidRPr="000D27EA" w:rsidTr="0048563C">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C576E" w:rsidRPr="000D27EA" w:rsidRDefault="00BC576E" w:rsidP="0048563C">
            <w:pPr>
              <w:rPr>
                <w:rFonts w:ascii="Times New Roman" w:eastAsia="Times New Roman" w:hAnsi="Times New Roman" w:cs="Times New Roman"/>
                <w:b/>
                <w:bCs/>
                <w:color w:val="231F20"/>
              </w:rPr>
            </w:pPr>
            <w:r w:rsidRPr="000D27EA">
              <w:rPr>
                <w:rFonts w:ascii="Times New Roman" w:eastAsia="Times New Roman" w:hAnsi="Times New Roman" w:cs="Times New Roman"/>
                <w:b/>
                <w:bCs/>
                <w:color w:val="231F20"/>
              </w:rPr>
              <w:t>Six (6) months PKISRV rates</w:t>
            </w:r>
          </w:p>
        </w:tc>
        <w:tc>
          <w:tcPr>
            <w:tcW w:w="2440" w:type="dxa"/>
            <w:tcBorders>
              <w:top w:val="nil"/>
              <w:left w:val="nil"/>
              <w:bottom w:val="single" w:sz="4" w:space="0" w:color="auto"/>
              <w:right w:val="single" w:sz="4" w:space="0" w:color="auto"/>
            </w:tcBorders>
            <w:shd w:val="clear" w:color="auto" w:fill="auto"/>
            <w:noWrap/>
            <w:vAlign w:val="center"/>
            <w:hideMark/>
          </w:tcPr>
          <w:p w:rsidR="00BC576E" w:rsidRPr="000D27EA" w:rsidRDefault="00BC576E" w:rsidP="0048563C">
            <w:pPr>
              <w:jc w:val="center"/>
              <w:rPr>
                <w:rFonts w:ascii="Times New Roman" w:eastAsia="Times New Roman" w:hAnsi="Times New Roman" w:cs="Times New Roman"/>
                <w:color w:val="231F20"/>
              </w:rPr>
            </w:pPr>
            <w:r w:rsidRPr="000D27EA">
              <w:rPr>
                <w:rFonts w:ascii="Times New Roman" w:eastAsia="Times New Roman" w:hAnsi="Times New Roman" w:cs="Times New Roman"/>
                <w:color w:val="231F20"/>
              </w:rPr>
              <w:t>Islamic Income Scheme</w:t>
            </w:r>
          </w:p>
        </w:tc>
      </w:tr>
      <w:tr w:rsidR="00BC576E" w:rsidRPr="000D27EA" w:rsidTr="0048563C">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BC576E" w:rsidRPr="000D27EA" w:rsidRDefault="00BC576E" w:rsidP="0048563C">
            <w:pPr>
              <w:rPr>
                <w:rFonts w:ascii="Times New Roman" w:eastAsia="Times New Roman" w:hAnsi="Times New Roman" w:cs="Times New Roman"/>
                <w:b/>
                <w:bCs/>
                <w:color w:val="231F20"/>
              </w:rPr>
            </w:pPr>
            <w:r w:rsidRPr="000D27EA">
              <w:rPr>
                <w:rFonts w:ascii="Times New Roman" w:eastAsia="Times New Roman" w:hAnsi="Times New Roman" w:cs="Times New Roman"/>
                <w:b/>
                <w:bCs/>
                <w:color w:val="231F20"/>
              </w:rPr>
              <w:t>KMI-30 Index</w:t>
            </w:r>
          </w:p>
        </w:tc>
        <w:tc>
          <w:tcPr>
            <w:tcW w:w="2440" w:type="dxa"/>
            <w:tcBorders>
              <w:top w:val="nil"/>
              <w:left w:val="nil"/>
              <w:bottom w:val="single" w:sz="4" w:space="0" w:color="auto"/>
              <w:right w:val="single" w:sz="4" w:space="0" w:color="auto"/>
            </w:tcBorders>
            <w:shd w:val="clear" w:color="auto" w:fill="auto"/>
            <w:noWrap/>
            <w:vAlign w:val="center"/>
            <w:hideMark/>
          </w:tcPr>
          <w:p w:rsidR="00BC576E" w:rsidRPr="000D27EA" w:rsidRDefault="00BC576E" w:rsidP="0048563C">
            <w:pPr>
              <w:jc w:val="center"/>
              <w:rPr>
                <w:rFonts w:ascii="Times New Roman" w:eastAsia="Times New Roman" w:hAnsi="Times New Roman" w:cs="Times New Roman"/>
                <w:color w:val="231F20"/>
              </w:rPr>
            </w:pPr>
            <w:r>
              <w:rPr>
                <w:rFonts w:ascii="Times New Roman" w:eastAsia="Times New Roman" w:hAnsi="Times New Roman" w:cs="Times New Roman"/>
                <w:color w:val="231F20"/>
              </w:rPr>
              <w:t xml:space="preserve">Islamic </w:t>
            </w:r>
            <w:r w:rsidRPr="000D27EA">
              <w:rPr>
                <w:rFonts w:ascii="Times New Roman" w:eastAsia="Times New Roman" w:hAnsi="Times New Roman" w:cs="Times New Roman"/>
                <w:color w:val="231F20"/>
              </w:rPr>
              <w:t>Dedicated Equity Scheme</w:t>
            </w:r>
          </w:p>
        </w:tc>
      </w:tr>
    </w:tbl>
    <w:p w:rsidR="005E5B48" w:rsidRPr="003948BA" w:rsidRDefault="00814043" w:rsidP="00A002A6">
      <w:pPr>
        <w:pStyle w:val="ListParagraph"/>
        <w:numPr>
          <w:ilvl w:val="2"/>
          <w:numId w:val="39"/>
        </w:numPr>
        <w:tabs>
          <w:tab w:val="left" w:pos="2042"/>
        </w:tabs>
        <w:spacing w:before="186"/>
        <w:ind w:left="2041" w:right="1007" w:hanging="631"/>
        <w:jc w:val="both"/>
        <w:rPr>
          <w:sz w:val="20"/>
        </w:rPr>
      </w:pPr>
      <w:r w:rsidRPr="003948BA">
        <w:rPr>
          <w:b/>
          <w:sz w:val="20"/>
        </w:rPr>
        <w:t xml:space="preserve">Investment / Divestment in CIS: </w:t>
      </w:r>
      <w:r w:rsidRPr="003948BA">
        <w:rPr>
          <w:sz w:val="20"/>
        </w:rPr>
        <w:t xml:space="preserve">The Management Company may invest or divest in/ from Collective Investment Schemes mentioned in Clause 2.2.3 above. The Management Company may also invest in any other Collective Investment Schemes available to it with the prior approval of the SECP. Provided that the Management Company shall only invest or divest in/from funds that are categorized according to SECP Circular </w:t>
      </w:r>
      <w:r w:rsidR="00512548" w:rsidRPr="003948BA">
        <w:rPr>
          <w:sz w:val="20"/>
        </w:rPr>
        <w:t xml:space="preserve">No. </w:t>
      </w:r>
      <w:r w:rsidRPr="003948BA">
        <w:rPr>
          <w:sz w:val="20"/>
        </w:rPr>
        <w:t>7 of 2009 in the CIS Categories mentioned in the table in Clause</w:t>
      </w:r>
      <w:r w:rsidRPr="003948BA">
        <w:rPr>
          <w:spacing w:val="-26"/>
          <w:sz w:val="20"/>
        </w:rPr>
        <w:t xml:space="preserve"> </w:t>
      </w:r>
      <w:r w:rsidRPr="003948BA">
        <w:rPr>
          <w:sz w:val="20"/>
        </w:rPr>
        <w:t>2.2.3.</w:t>
      </w:r>
    </w:p>
    <w:p w:rsidR="005E5B48" w:rsidRPr="003948BA" w:rsidRDefault="005E5B48">
      <w:pPr>
        <w:pStyle w:val="BodyText"/>
        <w:spacing w:before="7"/>
      </w:pPr>
    </w:p>
    <w:p w:rsidR="005E5B48" w:rsidRPr="003948BA" w:rsidRDefault="00814043" w:rsidP="00A002A6">
      <w:pPr>
        <w:pStyle w:val="ListParagraph"/>
        <w:numPr>
          <w:ilvl w:val="2"/>
          <w:numId w:val="39"/>
        </w:numPr>
        <w:tabs>
          <w:tab w:val="left" w:pos="2042"/>
        </w:tabs>
        <w:spacing w:before="1" w:line="223" w:lineRule="exact"/>
        <w:ind w:left="2041" w:right="1008" w:hanging="631"/>
        <w:jc w:val="both"/>
      </w:pPr>
      <w:r w:rsidRPr="003948BA">
        <w:rPr>
          <w:b/>
          <w:sz w:val="20"/>
        </w:rPr>
        <w:t xml:space="preserve">Addition or removal of Asset Classes: </w:t>
      </w:r>
      <w:r w:rsidRPr="003948BA">
        <w:rPr>
          <w:sz w:val="20"/>
        </w:rPr>
        <w:t>The Management Company may add or remove a CIS Category mentioned in Clause 2.2.3, with prior consent of Trustee and Approval of the Commission, and may announce the same by a Supplementary Offering</w:t>
      </w:r>
      <w:r w:rsidRPr="00042138">
        <w:rPr>
          <w:sz w:val="20"/>
        </w:rPr>
        <w:t xml:space="preserve"> </w:t>
      </w:r>
      <w:r w:rsidR="001A445F" w:rsidRPr="003948BA">
        <w:rPr>
          <w:sz w:val="20"/>
        </w:rPr>
        <w:t xml:space="preserve">Document(s) </w:t>
      </w:r>
      <w:r w:rsidRPr="00042138">
        <w:rPr>
          <w:sz w:val="20"/>
        </w:rPr>
        <w:t>Addition, Removal or Changes to existing Allocation Plans:</w:t>
      </w:r>
    </w:p>
    <w:p w:rsidR="005E5B48" w:rsidRPr="003948BA" w:rsidRDefault="005E5B48">
      <w:pPr>
        <w:pStyle w:val="BodyText"/>
        <w:spacing w:before="4"/>
        <w:rPr>
          <w:b/>
          <w:sz w:val="21"/>
        </w:rPr>
      </w:pPr>
    </w:p>
    <w:p w:rsidR="005E5B48" w:rsidRPr="003948BA" w:rsidRDefault="00814043">
      <w:pPr>
        <w:pStyle w:val="BodyText"/>
        <w:ind w:left="2041" w:right="1008"/>
        <w:jc w:val="both"/>
      </w:pPr>
      <w:r w:rsidRPr="003948BA">
        <w:t>The Management Company may add, remove or amend Allocation Plans with prior consent of the Trustee and approval of the Commission, and may announce the same by a Supplementary Offering Document(s), giving 90 days prior notice to the Unit Holders as specified in the regulation.</w:t>
      </w:r>
    </w:p>
    <w:p w:rsidR="005E5B48" w:rsidRPr="003948BA" w:rsidRDefault="005E5B48">
      <w:pPr>
        <w:pStyle w:val="BodyText"/>
        <w:spacing w:before="3"/>
      </w:pPr>
    </w:p>
    <w:p w:rsidR="005E5B48" w:rsidRPr="003948BA" w:rsidRDefault="00814043" w:rsidP="00A002A6">
      <w:pPr>
        <w:pStyle w:val="Heading5"/>
        <w:numPr>
          <w:ilvl w:val="2"/>
          <w:numId w:val="39"/>
        </w:numPr>
        <w:tabs>
          <w:tab w:val="left" w:pos="2042"/>
        </w:tabs>
        <w:ind w:left="2041" w:hanging="631"/>
      </w:pPr>
      <w:r w:rsidRPr="003948BA">
        <w:t>Asset Allocation in term-based</w:t>
      </w:r>
      <w:r w:rsidRPr="003948BA">
        <w:rPr>
          <w:spacing w:val="3"/>
        </w:rPr>
        <w:t xml:space="preserve"> </w:t>
      </w:r>
      <w:r w:rsidRPr="003948BA">
        <w:t>Plans</w:t>
      </w:r>
    </w:p>
    <w:p w:rsidR="005E5B48" w:rsidRPr="003948BA" w:rsidRDefault="005E5B48">
      <w:pPr>
        <w:pStyle w:val="BodyText"/>
        <w:spacing w:before="1"/>
        <w:rPr>
          <w:b/>
        </w:rPr>
      </w:pPr>
    </w:p>
    <w:p w:rsidR="005E5B48" w:rsidRPr="003948BA" w:rsidRDefault="00296052" w:rsidP="00CB53C7">
      <w:pPr>
        <w:pStyle w:val="BodyText"/>
        <w:numPr>
          <w:ilvl w:val="0"/>
          <w:numId w:val="50"/>
        </w:numPr>
        <w:ind w:right="1003"/>
        <w:jc w:val="both"/>
        <w:rPr>
          <w:bCs/>
          <w:color w:val="000000"/>
          <w:szCs w:val="19"/>
        </w:rPr>
      </w:pPr>
      <w:r w:rsidRPr="003948BA">
        <w:rPr>
          <w:bCs/>
          <w:color w:val="000000"/>
          <w:szCs w:val="19"/>
        </w:rPr>
        <w:t xml:space="preserve">For </w:t>
      </w:r>
      <w:r w:rsidRPr="003948BA">
        <w:rPr>
          <w:szCs w:val="24"/>
        </w:rPr>
        <w:t>“</w:t>
      </w:r>
      <w:r w:rsidRPr="003948BA">
        <w:rPr>
          <w:b/>
          <w:szCs w:val="24"/>
        </w:rPr>
        <w:t xml:space="preserve">Al-Ameen Islamic Active </w:t>
      </w:r>
      <w:r w:rsidR="00BC576E">
        <w:rPr>
          <w:b/>
          <w:szCs w:val="24"/>
        </w:rPr>
        <w:t>Allocation</w:t>
      </w:r>
      <w:r w:rsidRPr="003948BA">
        <w:rPr>
          <w:b/>
          <w:szCs w:val="24"/>
        </w:rPr>
        <w:t xml:space="preserve"> Plan–</w:t>
      </w:r>
      <w:r w:rsidR="00BC576E">
        <w:rPr>
          <w:b/>
          <w:szCs w:val="24"/>
        </w:rPr>
        <w:t>XI</w:t>
      </w:r>
      <w:r w:rsidR="004142FE">
        <w:rPr>
          <w:b/>
          <w:szCs w:val="24"/>
        </w:rPr>
        <w:t>V</w:t>
      </w:r>
      <w:r w:rsidRPr="003948BA">
        <w:rPr>
          <w:b/>
          <w:szCs w:val="24"/>
        </w:rPr>
        <w:t xml:space="preserve"> (</w:t>
      </w:r>
      <w:proofErr w:type="spellStart"/>
      <w:r w:rsidR="00042138">
        <w:rPr>
          <w:b/>
          <w:szCs w:val="24"/>
        </w:rPr>
        <w:t>AIActAP</w:t>
      </w:r>
      <w:proofErr w:type="spellEnd"/>
      <w:r w:rsidR="00042138">
        <w:rPr>
          <w:b/>
          <w:szCs w:val="24"/>
        </w:rPr>
        <w:t>-XIV</w:t>
      </w:r>
      <w:r w:rsidRPr="003948BA">
        <w:rPr>
          <w:b/>
          <w:szCs w:val="24"/>
        </w:rPr>
        <w:t>)</w:t>
      </w:r>
      <w:r w:rsidRPr="003948BA">
        <w:rPr>
          <w:szCs w:val="24"/>
        </w:rPr>
        <w:t xml:space="preserve">”, the Management Company </w:t>
      </w:r>
      <w:r w:rsidRPr="003948BA">
        <w:rPr>
          <w:bCs/>
          <w:color w:val="000000"/>
          <w:szCs w:val="19"/>
        </w:rPr>
        <w:t>shall actively manage the allocations, from time to time, subject to the specified limits as per Clause 2.2.2</w:t>
      </w:r>
      <w:r w:rsidR="00D30AE2" w:rsidRPr="003948BA">
        <w:rPr>
          <w:bCs/>
          <w:color w:val="000000"/>
          <w:szCs w:val="19"/>
        </w:rPr>
        <w:t xml:space="preserve"> (A)</w:t>
      </w:r>
    </w:p>
    <w:p w:rsidR="00401979" w:rsidRPr="003948BA" w:rsidRDefault="00401979" w:rsidP="00AC367D">
      <w:pPr>
        <w:pStyle w:val="BodyText"/>
        <w:ind w:left="2041" w:right="1003"/>
        <w:jc w:val="both"/>
      </w:pPr>
    </w:p>
    <w:p w:rsidR="005E5B48" w:rsidRPr="003948BA" w:rsidRDefault="00814043" w:rsidP="00A002A6">
      <w:pPr>
        <w:pStyle w:val="ListParagraph"/>
        <w:numPr>
          <w:ilvl w:val="2"/>
          <w:numId w:val="39"/>
        </w:numPr>
        <w:tabs>
          <w:tab w:val="left" w:pos="2042"/>
        </w:tabs>
        <w:spacing w:before="1"/>
        <w:ind w:right="1010"/>
        <w:jc w:val="both"/>
        <w:rPr>
          <w:sz w:val="20"/>
        </w:rPr>
      </w:pPr>
      <w:r w:rsidRPr="003948BA">
        <w:rPr>
          <w:b/>
          <w:sz w:val="20"/>
        </w:rPr>
        <w:t xml:space="preserve">Accounts for “Trust Property of the Scheme” and “Trust Property under Allocation Plans”: </w:t>
      </w:r>
      <w:r w:rsidRPr="003948BA">
        <w:rPr>
          <w:sz w:val="20"/>
        </w:rPr>
        <w:t xml:space="preserve">The Trustee shall hold the Trust Property under each Allocation Plan, as well as Trust Property of the Scheme on deposit in a separate account with an Islamic Bank, and </w:t>
      </w:r>
      <w:r w:rsidRPr="003948BA">
        <w:rPr>
          <w:sz w:val="20"/>
        </w:rPr>
        <w:lastRenderedPageBreak/>
        <w:t xml:space="preserve">Islamic Banking windows of conventional bank, of minimum rating </w:t>
      </w:r>
      <w:r w:rsidR="00D811CB" w:rsidRPr="003948BA">
        <w:rPr>
          <w:sz w:val="20"/>
        </w:rPr>
        <w:t xml:space="preserve">of </w:t>
      </w:r>
      <w:r w:rsidR="00991428" w:rsidRPr="003948BA">
        <w:rPr>
          <w:b/>
          <w:sz w:val="20"/>
        </w:rPr>
        <w:t>(A</w:t>
      </w:r>
      <w:r w:rsidR="00D811CB" w:rsidRPr="003948BA">
        <w:rPr>
          <w:b/>
          <w:sz w:val="20"/>
        </w:rPr>
        <w:t>A-</w:t>
      </w:r>
      <w:r w:rsidR="00991428" w:rsidRPr="003948BA">
        <w:rPr>
          <w:b/>
          <w:sz w:val="20"/>
        </w:rPr>
        <w:t xml:space="preserve"> </w:t>
      </w:r>
      <w:r w:rsidR="008E7BCF" w:rsidRPr="003948BA">
        <w:rPr>
          <w:b/>
          <w:sz w:val="20"/>
        </w:rPr>
        <w:t xml:space="preserve">&amp; above </w:t>
      </w:r>
      <w:r w:rsidR="00991428" w:rsidRPr="003948BA">
        <w:rPr>
          <w:b/>
          <w:sz w:val="20"/>
        </w:rPr>
        <w:t>for Principal Preservation Plan only)</w:t>
      </w:r>
      <w:r w:rsidRPr="003948BA">
        <w:rPr>
          <w:sz w:val="20"/>
        </w:rPr>
        <w:t xml:space="preserve">, or as allowed for “Fund of Funds” category from time to time. All Trust Property, except in so far as such cash may, in the opinion of the Management Company, be required for transfer to the Distribution Account or to be kept for meeting the redemption requirements </w:t>
      </w:r>
      <w:r w:rsidR="00CB587F" w:rsidRPr="003948BA">
        <w:rPr>
          <w:sz w:val="20"/>
        </w:rPr>
        <w:t>etc.</w:t>
      </w:r>
      <w:r w:rsidRPr="003948BA">
        <w:rPr>
          <w:sz w:val="20"/>
        </w:rPr>
        <w:t>, shall be applied by the Trustee from time to time in such Authorized Investments as may be directed by the Management Company, subject to the provisions of the Deed, the Offering Document and the</w:t>
      </w:r>
      <w:r w:rsidRPr="003948BA">
        <w:rPr>
          <w:spacing w:val="-8"/>
          <w:sz w:val="20"/>
        </w:rPr>
        <w:t xml:space="preserve"> </w:t>
      </w:r>
      <w:r w:rsidRPr="003948BA">
        <w:rPr>
          <w:sz w:val="20"/>
        </w:rPr>
        <w:t>Regulations.</w:t>
      </w:r>
    </w:p>
    <w:p w:rsidR="005E5B48" w:rsidRPr="003948BA" w:rsidRDefault="005E5B48">
      <w:pPr>
        <w:pStyle w:val="BodyText"/>
        <w:spacing w:before="11"/>
        <w:rPr>
          <w:sz w:val="32"/>
        </w:rPr>
      </w:pPr>
    </w:p>
    <w:p w:rsidR="005E5B48" w:rsidRPr="003948BA" w:rsidRDefault="00814043" w:rsidP="00A002A6">
      <w:pPr>
        <w:pStyle w:val="ListParagraph"/>
        <w:numPr>
          <w:ilvl w:val="2"/>
          <w:numId w:val="39"/>
        </w:numPr>
        <w:tabs>
          <w:tab w:val="left" w:pos="2042"/>
        </w:tabs>
        <w:ind w:left="2041" w:right="1004" w:hanging="631"/>
        <w:jc w:val="both"/>
        <w:rPr>
          <w:sz w:val="20"/>
        </w:rPr>
      </w:pPr>
      <w:r w:rsidRPr="003948BA">
        <w:rPr>
          <w:b/>
          <w:sz w:val="20"/>
        </w:rPr>
        <w:t xml:space="preserve">Divestment of Investments: </w:t>
      </w:r>
      <w:r w:rsidRPr="003948BA">
        <w:rPr>
          <w:sz w:val="20"/>
        </w:rPr>
        <w:t>Any Investment may at any time be divested at the discretion of the Management Company either in order to invest the proceeds of the sale in other authorized investments or to provide funds required for the purpose of any provision of the Deed or in order to retain the proceeds of sale in cash deposit as aforesaid or any combination of the aforesaid. Any Investment, which ceases to be an Authorized Investment, would be divested within such period as the Management Company determine to be in the best interest of the Unit Holders after acquiring approval of the Commission under intimation to the</w:t>
      </w:r>
      <w:r w:rsidRPr="003948BA">
        <w:rPr>
          <w:spacing w:val="-15"/>
          <w:sz w:val="20"/>
        </w:rPr>
        <w:t xml:space="preserve"> </w:t>
      </w:r>
      <w:r w:rsidRPr="003948BA">
        <w:rPr>
          <w:sz w:val="20"/>
        </w:rPr>
        <w:t>Trustee.</w:t>
      </w:r>
    </w:p>
    <w:p w:rsidR="005E5B48" w:rsidRPr="003948BA" w:rsidRDefault="005E5B48">
      <w:pPr>
        <w:pStyle w:val="BodyText"/>
        <w:spacing w:before="9"/>
      </w:pPr>
    </w:p>
    <w:p w:rsidR="005E5B48" w:rsidRPr="003948BA" w:rsidRDefault="00814043" w:rsidP="00A002A6">
      <w:pPr>
        <w:pStyle w:val="ListParagraph"/>
        <w:numPr>
          <w:ilvl w:val="2"/>
          <w:numId w:val="39"/>
        </w:numPr>
        <w:tabs>
          <w:tab w:val="left" w:pos="2042"/>
        </w:tabs>
        <w:ind w:left="2041" w:right="1008" w:hanging="631"/>
        <w:jc w:val="both"/>
        <w:rPr>
          <w:sz w:val="20"/>
        </w:rPr>
      </w:pPr>
      <w:r w:rsidRPr="003948BA">
        <w:rPr>
          <w:b/>
          <w:sz w:val="20"/>
        </w:rPr>
        <w:t xml:space="preserve">Exposure limits for “Trust Property of Scheme” and “Trust Property under Allocation Plan(s)”: </w:t>
      </w:r>
      <w:r w:rsidRPr="003948BA">
        <w:rPr>
          <w:sz w:val="20"/>
        </w:rPr>
        <w:t xml:space="preserve">The Trust Property of the Scheme and the Trust Property under Allocation Plans shall be subject to such exposure limits as are provided in the Regulations or the </w:t>
      </w:r>
      <w:r w:rsidR="00D75B77" w:rsidRPr="003948BA">
        <w:rPr>
          <w:sz w:val="20"/>
        </w:rPr>
        <w:t>Commission’s</w:t>
      </w:r>
      <w:r w:rsidRPr="003948BA">
        <w:rPr>
          <w:sz w:val="20"/>
        </w:rPr>
        <w:t xml:space="preserve"> relevant circulars, directives and notifications, provided that the Management Company shall have a period of Four (4) months from the date the exposure limits are breached to bring the Fund into compliance with the exposure limits if the deviation is due to appreciation, depreciation or disposal of any Investment.</w:t>
      </w:r>
    </w:p>
    <w:p w:rsidR="005E5B48" w:rsidRPr="003948BA" w:rsidRDefault="005E5B48">
      <w:pPr>
        <w:pStyle w:val="BodyText"/>
        <w:spacing w:before="9"/>
      </w:pPr>
    </w:p>
    <w:p w:rsidR="007136AD" w:rsidRPr="003948BA" w:rsidRDefault="00814043" w:rsidP="00A002A6">
      <w:pPr>
        <w:pStyle w:val="ListParagraph"/>
        <w:numPr>
          <w:ilvl w:val="2"/>
          <w:numId w:val="39"/>
        </w:numPr>
        <w:tabs>
          <w:tab w:val="left" w:pos="2042"/>
        </w:tabs>
        <w:ind w:left="2041" w:right="1009" w:hanging="631"/>
        <w:jc w:val="both"/>
        <w:rPr>
          <w:sz w:val="19"/>
          <w:szCs w:val="20"/>
        </w:rPr>
      </w:pPr>
      <w:r w:rsidRPr="003948BA">
        <w:rPr>
          <w:b/>
          <w:sz w:val="20"/>
        </w:rPr>
        <w:t xml:space="preserve">Fund category and applicable exposure limits: </w:t>
      </w:r>
      <w:r w:rsidRPr="003948BA">
        <w:rPr>
          <w:sz w:val="20"/>
        </w:rPr>
        <w:t>The Fund is categorized as a Fund of Funds Scheme and would be subject to the relevant exposure limits as specified in the Commission Circular No. 7of 2009 (as amended or substituted from time to time) dated March 6, 2009, the Rules, the Regulations or any such direction or circular issued by the Commission from time to</w:t>
      </w:r>
      <w:r w:rsidRPr="003948BA">
        <w:rPr>
          <w:spacing w:val="-9"/>
          <w:sz w:val="20"/>
        </w:rPr>
        <w:t xml:space="preserve"> </w:t>
      </w:r>
      <w:r w:rsidRPr="003948BA">
        <w:rPr>
          <w:sz w:val="20"/>
        </w:rPr>
        <w:t>time.</w:t>
      </w:r>
    </w:p>
    <w:p w:rsidR="005E5B48" w:rsidRPr="003948BA" w:rsidRDefault="005E5B48">
      <w:pPr>
        <w:pStyle w:val="BodyText"/>
        <w:spacing w:before="3"/>
        <w:rPr>
          <w:sz w:val="19"/>
        </w:rPr>
      </w:pPr>
    </w:p>
    <w:p w:rsidR="005A03AE" w:rsidRPr="003948BA" w:rsidRDefault="005A03AE">
      <w:pPr>
        <w:pStyle w:val="BodyText"/>
        <w:spacing w:before="3"/>
        <w:rPr>
          <w:sz w:val="19"/>
        </w:rPr>
      </w:pPr>
    </w:p>
    <w:p w:rsidR="005E5B48" w:rsidRPr="003948BA" w:rsidRDefault="00814043" w:rsidP="00A002A6">
      <w:pPr>
        <w:pStyle w:val="Heading5"/>
        <w:numPr>
          <w:ilvl w:val="2"/>
          <w:numId w:val="39"/>
        </w:numPr>
        <w:tabs>
          <w:tab w:val="left" w:pos="2042"/>
        </w:tabs>
        <w:spacing w:before="1"/>
        <w:ind w:left="2041"/>
      </w:pPr>
      <w:r w:rsidRPr="003948BA">
        <w:t xml:space="preserve">Al-Ameen Islamic Active </w:t>
      </w:r>
      <w:r w:rsidR="00BC576E">
        <w:t>Allocation</w:t>
      </w:r>
      <w:r w:rsidR="00296052" w:rsidRPr="003948BA">
        <w:t xml:space="preserve"> </w:t>
      </w:r>
      <w:r w:rsidRPr="003948BA">
        <w:t>Plan</w:t>
      </w:r>
      <w:r w:rsidRPr="003948BA">
        <w:rPr>
          <w:spacing w:val="-5"/>
        </w:rPr>
        <w:t xml:space="preserve"> </w:t>
      </w:r>
      <w:r w:rsidR="00D75B77" w:rsidRPr="003948BA">
        <w:t>-</w:t>
      </w:r>
      <w:r w:rsidR="00BC576E">
        <w:t>XI</w:t>
      </w:r>
      <w:r w:rsidR="004142FE">
        <w:t>V</w:t>
      </w:r>
      <w:r w:rsidR="00042138">
        <w:t xml:space="preserve"> (</w:t>
      </w:r>
      <w:proofErr w:type="spellStart"/>
      <w:r w:rsidR="00042138">
        <w:t>AIActAP</w:t>
      </w:r>
      <w:proofErr w:type="spellEnd"/>
      <w:r w:rsidR="00042138">
        <w:t>-XIV)</w:t>
      </w:r>
    </w:p>
    <w:p w:rsidR="007136AD" w:rsidRPr="003948BA" w:rsidRDefault="007136AD" w:rsidP="005A03AE">
      <w:pPr>
        <w:spacing w:line="223" w:lineRule="exact"/>
        <w:rPr>
          <w:b/>
          <w:sz w:val="20"/>
        </w:rPr>
      </w:pPr>
    </w:p>
    <w:p w:rsidR="005E5B48" w:rsidRPr="003948BA" w:rsidRDefault="001A445F" w:rsidP="00042138">
      <w:pPr>
        <w:spacing w:line="223" w:lineRule="exact"/>
        <w:ind w:left="1440" w:firstLine="601"/>
        <w:rPr>
          <w:b/>
          <w:sz w:val="20"/>
        </w:rPr>
      </w:pPr>
      <w:r w:rsidRPr="003948BA">
        <w:rPr>
          <w:b/>
          <w:sz w:val="20"/>
        </w:rPr>
        <w:t>I</w:t>
      </w:r>
      <w:r w:rsidR="00814043" w:rsidRPr="003948BA">
        <w:rPr>
          <w:b/>
          <w:sz w:val="20"/>
        </w:rPr>
        <w:t>nvestment Policy:</w:t>
      </w:r>
    </w:p>
    <w:p w:rsidR="005E5B48" w:rsidRPr="003948BA" w:rsidRDefault="005E5B48">
      <w:pPr>
        <w:pStyle w:val="BodyText"/>
        <w:spacing w:before="4"/>
        <w:rPr>
          <w:b/>
          <w:sz w:val="21"/>
        </w:rPr>
      </w:pPr>
    </w:p>
    <w:p w:rsidR="00434985" w:rsidRPr="003948BA" w:rsidRDefault="00434985" w:rsidP="00434985">
      <w:pPr>
        <w:pStyle w:val="ListParagraph"/>
        <w:tabs>
          <w:tab w:val="left" w:pos="360"/>
          <w:tab w:val="left" w:pos="1260"/>
        </w:tabs>
        <w:adjustRightInd w:val="0"/>
        <w:ind w:left="2041" w:firstLine="0"/>
        <w:jc w:val="both"/>
        <w:rPr>
          <w:b/>
          <w:szCs w:val="24"/>
        </w:rPr>
      </w:pPr>
    </w:p>
    <w:p w:rsidR="00234584" w:rsidRDefault="00434985" w:rsidP="00042138">
      <w:pPr>
        <w:pStyle w:val="Default"/>
        <w:ind w:left="2880" w:right="20" w:hanging="1379"/>
        <w:jc w:val="both"/>
        <w:rPr>
          <w:rFonts w:ascii="Arial" w:hAnsi="Arial" w:cs="Arial"/>
          <w:sz w:val="20"/>
          <w:szCs w:val="20"/>
        </w:rPr>
      </w:pPr>
      <w:r w:rsidRPr="003948BA">
        <w:rPr>
          <w:rFonts w:ascii="Arial" w:hAnsi="Arial" w:cs="Arial"/>
          <w:sz w:val="20"/>
          <w:szCs w:val="20"/>
        </w:rPr>
        <w:t>2.2.1</w:t>
      </w:r>
      <w:r w:rsidR="007136AD" w:rsidRPr="003948BA">
        <w:rPr>
          <w:rFonts w:ascii="Arial" w:hAnsi="Arial" w:cs="Arial"/>
          <w:sz w:val="20"/>
          <w:szCs w:val="20"/>
        </w:rPr>
        <w:t>3</w:t>
      </w:r>
      <w:r w:rsidRPr="003948BA">
        <w:rPr>
          <w:rFonts w:ascii="Arial" w:hAnsi="Arial" w:cs="Arial"/>
          <w:sz w:val="20"/>
          <w:szCs w:val="20"/>
        </w:rPr>
        <w:t>.1</w:t>
      </w:r>
      <w:r w:rsidRPr="003948BA">
        <w:rPr>
          <w:rFonts w:ascii="Arial" w:hAnsi="Arial" w:cs="Arial"/>
          <w:sz w:val="20"/>
          <w:szCs w:val="20"/>
        </w:rPr>
        <w:tab/>
      </w:r>
      <w:r w:rsidR="00234584" w:rsidRPr="00234584">
        <w:rPr>
          <w:rFonts w:ascii="Arial" w:hAnsi="Arial" w:cs="Arial"/>
          <w:sz w:val="20"/>
          <w:szCs w:val="20"/>
        </w:rPr>
        <w:t xml:space="preserve">The allocation plan will be actively allocated between </w:t>
      </w:r>
      <w:r w:rsidR="00042138">
        <w:rPr>
          <w:rFonts w:ascii="Arial" w:hAnsi="Arial" w:cs="Arial"/>
          <w:sz w:val="20"/>
          <w:szCs w:val="20"/>
        </w:rPr>
        <w:t>Islamic</w:t>
      </w:r>
      <w:r w:rsidR="00234584" w:rsidRPr="00234584">
        <w:rPr>
          <w:rFonts w:ascii="Arial" w:hAnsi="Arial" w:cs="Arial"/>
          <w:sz w:val="20"/>
          <w:szCs w:val="20"/>
        </w:rPr>
        <w:t xml:space="preserve"> </w:t>
      </w:r>
      <w:r w:rsidR="00042138">
        <w:rPr>
          <w:rFonts w:ascii="Arial" w:hAnsi="Arial" w:cs="Arial"/>
          <w:sz w:val="20"/>
          <w:szCs w:val="20"/>
        </w:rPr>
        <w:t xml:space="preserve">(Dedicated </w:t>
      </w:r>
      <w:r w:rsidR="00234584" w:rsidRPr="00234584">
        <w:rPr>
          <w:rFonts w:ascii="Arial" w:hAnsi="Arial" w:cs="Arial"/>
          <w:sz w:val="20"/>
          <w:szCs w:val="20"/>
        </w:rPr>
        <w:t>Equity*, Income &amp; Money Market</w:t>
      </w:r>
      <w:r w:rsidR="00042138">
        <w:rPr>
          <w:rFonts w:ascii="Arial" w:hAnsi="Arial" w:cs="Arial"/>
          <w:sz w:val="20"/>
          <w:szCs w:val="20"/>
        </w:rPr>
        <w:t>)</w:t>
      </w:r>
      <w:r w:rsidR="00234584" w:rsidRPr="00234584">
        <w:rPr>
          <w:rFonts w:ascii="Arial" w:hAnsi="Arial" w:cs="Arial"/>
          <w:sz w:val="20"/>
          <w:szCs w:val="20"/>
        </w:rPr>
        <w:t xml:space="preserve"> based Collective Investment Schemes.</w:t>
      </w:r>
    </w:p>
    <w:p w:rsidR="00B522BD" w:rsidRDefault="00B522BD" w:rsidP="00234584">
      <w:pPr>
        <w:pStyle w:val="Default"/>
        <w:ind w:left="1501" w:right="20"/>
        <w:jc w:val="both"/>
        <w:rPr>
          <w:rFonts w:ascii="Arial" w:hAnsi="Arial" w:cs="Arial"/>
          <w:sz w:val="20"/>
          <w:szCs w:val="20"/>
        </w:rPr>
      </w:pPr>
    </w:p>
    <w:p w:rsidR="00234584" w:rsidRDefault="00B522BD" w:rsidP="00234584">
      <w:pPr>
        <w:pStyle w:val="Default"/>
        <w:ind w:left="1501" w:right="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Equity allocation may only be </w:t>
      </w:r>
      <w:r w:rsidR="00F6630C">
        <w:rPr>
          <w:rFonts w:ascii="Arial" w:hAnsi="Arial" w:cs="Arial"/>
          <w:sz w:val="20"/>
          <w:szCs w:val="20"/>
        </w:rPr>
        <w:t>invested in “Shariah Compliant Dedicated Equity Fund”.</w:t>
      </w:r>
    </w:p>
    <w:p w:rsidR="00B522BD" w:rsidRDefault="00B522BD" w:rsidP="00234584">
      <w:pPr>
        <w:pStyle w:val="Default"/>
        <w:ind w:left="1501" w:right="20"/>
        <w:jc w:val="both"/>
        <w:rPr>
          <w:rFonts w:ascii="Arial" w:hAnsi="Arial" w:cs="Arial"/>
          <w:sz w:val="20"/>
          <w:szCs w:val="20"/>
        </w:rPr>
      </w:pPr>
    </w:p>
    <w:p w:rsidR="00234584" w:rsidRDefault="00234584" w:rsidP="00042138">
      <w:pPr>
        <w:pStyle w:val="Default"/>
        <w:ind w:left="2880" w:right="20" w:hanging="1379"/>
        <w:jc w:val="both"/>
        <w:rPr>
          <w:rFonts w:ascii="Arial" w:hAnsi="Arial" w:cs="Arial"/>
          <w:sz w:val="20"/>
          <w:szCs w:val="20"/>
        </w:rPr>
      </w:pPr>
      <w:r w:rsidRPr="003948BA">
        <w:rPr>
          <w:rFonts w:ascii="Arial" w:hAnsi="Arial" w:cs="Arial"/>
          <w:sz w:val="20"/>
          <w:szCs w:val="20"/>
        </w:rPr>
        <w:t>2.2.13</w:t>
      </w:r>
      <w:r>
        <w:rPr>
          <w:rFonts w:ascii="Arial" w:hAnsi="Arial" w:cs="Arial"/>
          <w:sz w:val="20"/>
          <w:szCs w:val="20"/>
        </w:rPr>
        <w:t>.2</w:t>
      </w:r>
      <w:r>
        <w:rPr>
          <w:rFonts w:ascii="Arial" w:hAnsi="Arial" w:cs="Arial"/>
          <w:sz w:val="20"/>
          <w:szCs w:val="20"/>
        </w:rPr>
        <w:tab/>
      </w:r>
      <w:r w:rsidRPr="00234584">
        <w:rPr>
          <w:rFonts w:ascii="Arial" w:hAnsi="Arial" w:cs="Arial"/>
          <w:sz w:val="20"/>
          <w:szCs w:val="20"/>
        </w:rPr>
        <w:t>Active Allocation means that the Management Company may, from time to time, change the allocations to Islamic Dedicated Equity Scheme, Islamic Money Market Scheme and Islamic Income Scheme based on the Fund Manager’s outlook for the asset-classes.</w:t>
      </w:r>
    </w:p>
    <w:p w:rsidR="00234584" w:rsidRDefault="00234584" w:rsidP="00042138">
      <w:pPr>
        <w:pStyle w:val="Default"/>
        <w:ind w:left="2880" w:right="20" w:hanging="1379"/>
        <w:jc w:val="both"/>
        <w:rPr>
          <w:rFonts w:ascii="Arial" w:hAnsi="Arial" w:cs="Arial"/>
          <w:sz w:val="20"/>
          <w:szCs w:val="20"/>
        </w:rPr>
      </w:pPr>
    </w:p>
    <w:p w:rsidR="00234584" w:rsidRPr="00234584" w:rsidRDefault="00234584" w:rsidP="00234584">
      <w:pPr>
        <w:pStyle w:val="Default"/>
        <w:ind w:left="2880" w:right="20" w:hanging="1379"/>
        <w:jc w:val="both"/>
        <w:rPr>
          <w:rFonts w:ascii="Arial" w:hAnsi="Arial" w:cs="Arial"/>
          <w:sz w:val="20"/>
          <w:szCs w:val="20"/>
        </w:rPr>
      </w:pPr>
      <w:r w:rsidRPr="003948BA">
        <w:rPr>
          <w:rFonts w:ascii="Arial" w:hAnsi="Arial" w:cs="Arial"/>
          <w:sz w:val="20"/>
          <w:szCs w:val="20"/>
        </w:rPr>
        <w:t>2.2.13</w:t>
      </w:r>
      <w:r>
        <w:rPr>
          <w:rFonts w:ascii="Arial" w:hAnsi="Arial" w:cs="Arial"/>
          <w:sz w:val="20"/>
          <w:szCs w:val="20"/>
        </w:rPr>
        <w:t>.3</w:t>
      </w:r>
      <w:r>
        <w:rPr>
          <w:rFonts w:ascii="Arial" w:hAnsi="Arial" w:cs="Arial"/>
          <w:sz w:val="20"/>
          <w:szCs w:val="20"/>
        </w:rPr>
        <w:tab/>
      </w:r>
      <w:r w:rsidRPr="00234584">
        <w:rPr>
          <w:rFonts w:ascii="Arial" w:hAnsi="Arial" w:cs="Arial"/>
          <w:sz w:val="20"/>
          <w:szCs w:val="20"/>
        </w:rPr>
        <w:t>Initially, the Management Company may seek to invest in the following Collective Investment Schemes:</w:t>
      </w:r>
    </w:p>
    <w:p w:rsidR="00234584" w:rsidRPr="00234584" w:rsidRDefault="00234584" w:rsidP="00234584">
      <w:pPr>
        <w:pStyle w:val="Default"/>
        <w:ind w:left="2880" w:right="20" w:hanging="1379"/>
        <w:jc w:val="both"/>
        <w:rPr>
          <w:rFonts w:ascii="Arial" w:hAnsi="Arial" w:cs="Arial"/>
          <w:sz w:val="20"/>
          <w:szCs w:val="20"/>
        </w:rPr>
      </w:pPr>
    </w:p>
    <w:p w:rsidR="00234584" w:rsidRPr="00234584" w:rsidRDefault="00234584" w:rsidP="00234584">
      <w:pPr>
        <w:pStyle w:val="Default"/>
        <w:ind w:left="2880" w:right="20" w:hanging="1379"/>
        <w:jc w:val="both"/>
        <w:rPr>
          <w:rFonts w:ascii="Arial" w:hAnsi="Arial" w:cs="Arial"/>
          <w:sz w:val="20"/>
          <w:szCs w:val="20"/>
        </w:rPr>
      </w:pPr>
      <w:r>
        <w:rPr>
          <w:rFonts w:ascii="Arial" w:hAnsi="Arial" w:cs="Arial"/>
          <w:sz w:val="20"/>
          <w:szCs w:val="20"/>
        </w:rPr>
        <w:tab/>
      </w:r>
    </w:p>
    <w:tbl>
      <w:tblPr>
        <w:tblW w:w="0" w:type="auto"/>
        <w:tblInd w:w="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4050"/>
      </w:tblGrid>
      <w:tr w:rsidR="00234584" w:rsidRPr="00DF6CCC" w:rsidTr="00042138">
        <w:tc>
          <w:tcPr>
            <w:tcW w:w="3258" w:type="dxa"/>
            <w:shd w:val="clear" w:color="auto" w:fill="auto"/>
            <w:vAlign w:val="center"/>
          </w:tcPr>
          <w:p w:rsidR="00234584" w:rsidRPr="00406441" w:rsidRDefault="00234584" w:rsidP="0048563C">
            <w:pPr>
              <w:rPr>
                <w:b/>
                <w:szCs w:val="24"/>
              </w:rPr>
            </w:pPr>
            <w:r>
              <w:rPr>
                <w:b/>
                <w:szCs w:val="24"/>
              </w:rPr>
              <w:t xml:space="preserve">Islamic Dedicated </w:t>
            </w:r>
            <w:r w:rsidRPr="00406441">
              <w:rPr>
                <w:b/>
                <w:szCs w:val="24"/>
              </w:rPr>
              <w:t>Equity Scheme</w:t>
            </w:r>
          </w:p>
        </w:tc>
        <w:tc>
          <w:tcPr>
            <w:tcW w:w="4050" w:type="dxa"/>
            <w:shd w:val="clear" w:color="auto" w:fill="auto"/>
            <w:vAlign w:val="center"/>
          </w:tcPr>
          <w:p w:rsidR="00234584" w:rsidRDefault="00234584" w:rsidP="0048563C">
            <w:pPr>
              <w:rPr>
                <w:b/>
                <w:szCs w:val="24"/>
              </w:rPr>
            </w:pPr>
            <w:r>
              <w:rPr>
                <w:b/>
                <w:szCs w:val="24"/>
              </w:rPr>
              <w:t xml:space="preserve">Islamic </w:t>
            </w:r>
            <w:r w:rsidRPr="00406441">
              <w:rPr>
                <w:b/>
                <w:szCs w:val="24"/>
              </w:rPr>
              <w:t xml:space="preserve">Money Market </w:t>
            </w:r>
            <w:r>
              <w:rPr>
                <w:b/>
                <w:szCs w:val="24"/>
              </w:rPr>
              <w:t>Scheme</w:t>
            </w:r>
            <w:r w:rsidRPr="00406441">
              <w:rPr>
                <w:b/>
                <w:szCs w:val="24"/>
              </w:rPr>
              <w:t xml:space="preserve">/ </w:t>
            </w:r>
          </w:p>
          <w:p w:rsidR="00234584" w:rsidRPr="00406441" w:rsidRDefault="00234584" w:rsidP="0048563C">
            <w:pPr>
              <w:rPr>
                <w:b/>
                <w:szCs w:val="24"/>
              </w:rPr>
            </w:pPr>
            <w:r>
              <w:rPr>
                <w:b/>
                <w:szCs w:val="24"/>
              </w:rPr>
              <w:t xml:space="preserve">Islamic </w:t>
            </w:r>
            <w:r w:rsidRPr="00406441">
              <w:rPr>
                <w:b/>
                <w:szCs w:val="24"/>
              </w:rPr>
              <w:t>Income Scheme</w:t>
            </w:r>
          </w:p>
        </w:tc>
      </w:tr>
      <w:tr w:rsidR="00234584" w:rsidRPr="00DF6CCC" w:rsidTr="00042138">
        <w:trPr>
          <w:trHeight w:val="628"/>
        </w:trPr>
        <w:tc>
          <w:tcPr>
            <w:tcW w:w="3258" w:type="dxa"/>
            <w:shd w:val="clear" w:color="auto" w:fill="auto"/>
            <w:vAlign w:val="center"/>
          </w:tcPr>
          <w:p w:rsidR="00234584" w:rsidRPr="00DF6CCC" w:rsidRDefault="00234584" w:rsidP="0048563C">
            <w:pPr>
              <w:rPr>
                <w:szCs w:val="24"/>
              </w:rPr>
            </w:pPr>
            <w:r w:rsidRPr="00DF6CCC">
              <w:rPr>
                <w:szCs w:val="24"/>
              </w:rPr>
              <w:t xml:space="preserve">Al-Ameen </w:t>
            </w:r>
            <w:r>
              <w:rPr>
                <w:szCs w:val="24"/>
              </w:rPr>
              <w:t>Islamic Dedicated Equity Fund</w:t>
            </w:r>
          </w:p>
        </w:tc>
        <w:tc>
          <w:tcPr>
            <w:tcW w:w="4050" w:type="dxa"/>
            <w:shd w:val="clear" w:color="auto" w:fill="auto"/>
            <w:vAlign w:val="center"/>
          </w:tcPr>
          <w:p w:rsidR="00234584" w:rsidRPr="00F966A3" w:rsidRDefault="00234584" w:rsidP="0048563C">
            <w:pPr>
              <w:rPr>
                <w:szCs w:val="24"/>
              </w:rPr>
            </w:pPr>
            <w:r w:rsidRPr="00F966A3">
              <w:rPr>
                <w:szCs w:val="24"/>
              </w:rPr>
              <w:t>Al-Ameen Islamic Cash Fund</w:t>
            </w:r>
          </w:p>
          <w:p w:rsidR="00234584" w:rsidRPr="00F966A3" w:rsidRDefault="00234584" w:rsidP="0048563C">
            <w:pPr>
              <w:rPr>
                <w:szCs w:val="24"/>
              </w:rPr>
            </w:pPr>
            <w:r>
              <w:rPr>
                <w:szCs w:val="24"/>
              </w:rPr>
              <w:t>A</w:t>
            </w:r>
            <w:r w:rsidRPr="00F966A3">
              <w:rPr>
                <w:szCs w:val="24"/>
              </w:rPr>
              <w:t>l-Ameen Islamic Sovereign Fund</w:t>
            </w:r>
          </w:p>
        </w:tc>
      </w:tr>
    </w:tbl>
    <w:p w:rsidR="00234584" w:rsidRPr="00234584" w:rsidRDefault="00234584" w:rsidP="00234584">
      <w:pPr>
        <w:pStyle w:val="Default"/>
        <w:ind w:left="2880" w:right="20" w:hanging="1379"/>
        <w:jc w:val="both"/>
        <w:rPr>
          <w:rFonts w:ascii="Arial" w:hAnsi="Arial" w:cs="Arial"/>
          <w:sz w:val="20"/>
          <w:szCs w:val="20"/>
        </w:rPr>
      </w:pPr>
    </w:p>
    <w:p w:rsidR="00234584" w:rsidRDefault="00234584" w:rsidP="00042138">
      <w:pPr>
        <w:pStyle w:val="Default"/>
        <w:ind w:left="2880" w:right="20"/>
        <w:jc w:val="both"/>
        <w:rPr>
          <w:rFonts w:ascii="Arial" w:hAnsi="Arial" w:cs="Arial"/>
          <w:sz w:val="20"/>
          <w:szCs w:val="20"/>
        </w:rPr>
      </w:pPr>
      <w:r w:rsidRPr="00234584">
        <w:rPr>
          <w:rFonts w:ascii="Arial" w:hAnsi="Arial" w:cs="Arial"/>
          <w:sz w:val="20"/>
          <w:szCs w:val="20"/>
        </w:rPr>
        <w:t>The Management Company may invest or divest in/ from Islamic Collective Investment Schemes (CIS) mentioned in 2.2.13.</w:t>
      </w:r>
      <w:r w:rsidR="00042138">
        <w:rPr>
          <w:rFonts w:ascii="Arial" w:hAnsi="Arial" w:cs="Arial"/>
          <w:sz w:val="20"/>
          <w:szCs w:val="20"/>
        </w:rPr>
        <w:t>3</w:t>
      </w:r>
      <w:r w:rsidRPr="00234584">
        <w:rPr>
          <w:rFonts w:ascii="Arial" w:hAnsi="Arial" w:cs="Arial"/>
          <w:sz w:val="20"/>
          <w:szCs w:val="20"/>
        </w:rPr>
        <w:t xml:space="preserve"> above. The Management Company may also invest in any other Collective Investment Schemes* available to it, as categorized according to SECP Circular 7 of 2009 in either of the above mentioned asset classes and comply with the </w:t>
      </w:r>
      <w:r>
        <w:rPr>
          <w:rFonts w:ascii="Arial" w:hAnsi="Arial" w:cs="Arial"/>
          <w:sz w:val="20"/>
          <w:szCs w:val="20"/>
        </w:rPr>
        <w:t>requirements of clause 2.2.13.2</w:t>
      </w:r>
      <w:r w:rsidRPr="00234584">
        <w:rPr>
          <w:rFonts w:ascii="Arial" w:hAnsi="Arial" w:cs="Arial"/>
          <w:sz w:val="20"/>
          <w:szCs w:val="20"/>
        </w:rPr>
        <w:t xml:space="preserve"> above.</w:t>
      </w:r>
    </w:p>
    <w:p w:rsidR="00234584" w:rsidRPr="00234584" w:rsidRDefault="00234584" w:rsidP="00042138">
      <w:pPr>
        <w:pStyle w:val="Default"/>
        <w:ind w:left="2880" w:right="20"/>
        <w:jc w:val="both"/>
        <w:rPr>
          <w:rFonts w:ascii="Arial" w:hAnsi="Arial" w:cs="Arial"/>
          <w:sz w:val="20"/>
          <w:szCs w:val="20"/>
        </w:rPr>
      </w:pPr>
    </w:p>
    <w:p w:rsidR="00234584" w:rsidRDefault="00234584" w:rsidP="00042138">
      <w:pPr>
        <w:pStyle w:val="Default"/>
        <w:ind w:left="2819" w:right="20"/>
        <w:jc w:val="both"/>
        <w:rPr>
          <w:rFonts w:ascii="Arial" w:hAnsi="Arial" w:cs="Arial"/>
          <w:sz w:val="20"/>
          <w:szCs w:val="20"/>
        </w:rPr>
      </w:pPr>
      <w:r w:rsidRPr="00234584">
        <w:rPr>
          <w:rFonts w:ascii="Arial" w:hAnsi="Arial" w:cs="Arial"/>
          <w:sz w:val="20"/>
          <w:szCs w:val="20"/>
        </w:rPr>
        <w:t>* Equity allocation may only be invested in “</w:t>
      </w:r>
      <w:r w:rsidR="00042138">
        <w:rPr>
          <w:rFonts w:ascii="Arial" w:hAnsi="Arial" w:cs="Arial"/>
          <w:sz w:val="20"/>
          <w:szCs w:val="20"/>
        </w:rPr>
        <w:t xml:space="preserve">Islamic </w:t>
      </w:r>
      <w:r w:rsidRPr="00234584">
        <w:rPr>
          <w:rFonts w:ascii="Arial" w:hAnsi="Arial" w:cs="Arial"/>
          <w:sz w:val="20"/>
          <w:szCs w:val="20"/>
        </w:rPr>
        <w:t>Dedicated Equity Funds”.</w:t>
      </w:r>
    </w:p>
    <w:p w:rsidR="00234584" w:rsidRDefault="00234584" w:rsidP="00042138">
      <w:pPr>
        <w:pStyle w:val="Default"/>
        <w:ind w:left="2160" w:right="20" w:firstLine="659"/>
        <w:jc w:val="both"/>
        <w:rPr>
          <w:rFonts w:ascii="Arial" w:hAnsi="Arial" w:cs="Arial"/>
          <w:sz w:val="20"/>
          <w:szCs w:val="20"/>
        </w:rPr>
      </w:pPr>
    </w:p>
    <w:p w:rsidR="005E5B48" w:rsidRPr="003948BA" w:rsidRDefault="005E5B48" w:rsidP="001A445F">
      <w:pPr>
        <w:pStyle w:val="BodyText"/>
        <w:spacing w:before="11"/>
        <w:ind w:right="20"/>
        <w:rPr>
          <w:i/>
          <w:sz w:val="17"/>
        </w:rPr>
      </w:pPr>
    </w:p>
    <w:p w:rsidR="005E5B48" w:rsidRPr="003948BA" w:rsidRDefault="00814043" w:rsidP="00042138">
      <w:pPr>
        <w:pStyle w:val="Heading5"/>
        <w:numPr>
          <w:ilvl w:val="2"/>
          <w:numId w:val="39"/>
        </w:numPr>
        <w:tabs>
          <w:tab w:val="left" w:pos="2042"/>
        </w:tabs>
        <w:ind w:right="20"/>
      </w:pPr>
      <w:r w:rsidRPr="003948BA">
        <w:t>Basic features of</w:t>
      </w:r>
      <w:r w:rsidRPr="003948BA">
        <w:rPr>
          <w:spacing w:val="3"/>
        </w:rPr>
        <w:t xml:space="preserve"> </w:t>
      </w:r>
      <w:r w:rsidR="00042138">
        <w:rPr>
          <w:szCs w:val="24"/>
        </w:rPr>
        <w:t xml:space="preserve">Al-Ameen </w:t>
      </w:r>
      <w:r w:rsidR="00042138" w:rsidRPr="00042138">
        <w:rPr>
          <w:szCs w:val="24"/>
        </w:rPr>
        <w:t>Islamic Active Allocation Plan -XIV (</w:t>
      </w:r>
      <w:proofErr w:type="spellStart"/>
      <w:r w:rsidR="00042138" w:rsidRPr="00042138">
        <w:rPr>
          <w:szCs w:val="24"/>
        </w:rPr>
        <w:t>AIActAP</w:t>
      </w:r>
      <w:proofErr w:type="spellEnd"/>
      <w:r w:rsidR="00042138" w:rsidRPr="00042138">
        <w:rPr>
          <w:szCs w:val="24"/>
        </w:rPr>
        <w:t>-XIV)</w:t>
      </w:r>
    </w:p>
    <w:p w:rsidR="005E5B48" w:rsidRPr="003948BA" w:rsidRDefault="005E5B48" w:rsidP="001A445F">
      <w:pPr>
        <w:pStyle w:val="BodyText"/>
        <w:spacing w:before="3"/>
        <w:ind w:right="20"/>
        <w:rPr>
          <w:b/>
        </w:rPr>
      </w:pPr>
    </w:p>
    <w:p w:rsidR="00434985" w:rsidRPr="00E037DC" w:rsidRDefault="00434985" w:rsidP="00DC10F0">
      <w:pPr>
        <w:numPr>
          <w:ilvl w:val="0"/>
          <w:numId w:val="48"/>
        </w:numPr>
        <w:ind w:right="20"/>
        <w:jc w:val="both"/>
        <w:rPr>
          <w:sz w:val="20"/>
          <w:szCs w:val="20"/>
        </w:rPr>
      </w:pPr>
      <w:r w:rsidRPr="00E037DC">
        <w:rPr>
          <w:b/>
          <w:bCs/>
          <w:color w:val="000000"/>
          <w:sz w:val="20"/>
          <w:szCs w:val="20"/>
        </w:rPr>
        <w:t xml:space="preserve">Term/ Duration of the Allocation Plan: </w:t>
      </w:r>
      <w:r w:rsidRPr="00E037DC">
        <w:rPr>
          <w:bCs/>
          <w:color w:val="000000"/>
          <w:sz w:val="20"/>
          <w:szCs w:val="20"/>
        </w:rPr>
        <w:t xml:space="preserve">The duration of the plan is </w:t>
      </w:r>
      <w:r w:rsidR="006F417A">
        <w:rPr>
          <w:bCs/>
          <w:color w:val="000000"/>
          <w:sz w:val="20"/>
          <w:szCs w:val="20"/>
        </w:rPr>
        <w:t>2 (</w:t>
      </w:r>
      <w:r w:rsidR="00DC161C">
        <w:rPr>
          <w:bCs/>
          <w:color w:val="000000"/>
          <w:sz w:val="20"/>
          <w:szCs w:val="20"/>
        </w:rPr>
        <w:t>Two</w:t>
      </w:r>
      <w:r w:rsidR="006F417A">
        <w:rPr>
          <w:bCs/>
          <w:color w:val="000000"/>
          <w:sz w:val="20"/>
          <w:szCs w:val="20"/>
        </w:rPr>
        <w:t>)</w:t>
      </w:r>
      <w:r w:rsidR="00DC161C">
        <w:rPr>
          <w:bCs/>
          <w:color w:val="000000"/>
          <w:sz w:val="20"/>
          <w:szCs w:val="20"/>
        </w:rPr>
        <w:t xml:space="preserve"> Years from the commencement of life of Plan)</w:t>
      </w:r>
      <w:r w:rsidRPr="00E037DC">
        <w:rPr>
          <w:bCs/>
          <w:color w:val="000000"/>
          <w:sz w:val="20"/>
          <w:szCs w:val="20"/>
        </w:rPr>
        <w:t>.</w:t>
      </w:r>
    </w:p>
    <w:p w:rsidR="00792244" w:rsidRPr="00792244" w:rsidRDefault="00792244" w:rsidP="00792244">
      <w:pPr>
        <w:ind w:left="2401" w:right="20"/>
        <w:jc w:val="both"/>
        <w:rPr>
          <w:sz w:val="20"/>
          <w:szCs w:val="20"/>
        </w:rPr>
      </w:pPr>
    </w:p>
    <w:p w:rsidR="00434985" w:rsidRPr="00E037DC" w:rsidRDefault="00234584" w:rsidP="00DC10F0">
      <w:pPr>
        <w:numPr>
          <w:ilvl w:val="0"/>
          <w:numId w:val="48"/>
        </w:numPr>
        <w:ind w:right="20"/>
        <w:jc w:val="both"/>
        <w:rPr>
          <w:sz w:val="20"/>
          <w:szCs w:val="20"/>
        </w:rPr>
      </w:pPr>
      <w:r w:rsidRPr="00E037DC">
        <w:rPr>
          <w:b/>
          <w:bCs/>
          <w:color w:val="000000"/>
          <w:sz w:val="20"/>
          <w:szCs w:val="20"/>
        </w:rPr>
        <w:t xml:space="preserve">Initial Offering </w:t>
      </w:r>
      <w:r w:rsidR="00434985" w:rsidRPr="00E037DC">
        <w:rPr>
          <w:b/>
          <w:bCs/>
          <w:color w:val="000000"/>
          <w:sz w:val="20"/>
          <w:szCs w:val="20"/>
        </w:rPr>
        <w:t>Period:</w:t>
      </w:r>
      <w:r w:rsidR="00434985" w:rsidRPr="00E037DC">
        <w:rPr>
          <w:bCs/>
          <w:color w:val="000000"/>
          <w:sz w:val="20"/>
          <w:szCs w:val="20"/>
        </w:rPr>
        <w:t xml:space="preserve"> </w:t>
      </w:r>
      <w:r w:rsidR="00434985" w:rsidRPr="00E037DC">
        <w:rPr>
          <w:sz w:val="20"/>
          <w:szCs w:val="20"/>
        </w:rPr>
        <w:t xml:space="preserve">The plan will be open for subscription from </w:t>
      </w:r>
      <w:r w:rsidR="002764CE" w:rsidRPr="00E037DC">
        <w:rPr>
          <w:sz w:val="20"/>
          <w:szCs w:val="20"/>
          <w:highlight w:val="yellow"/>
        </w:rPr>
        <w:t>__________</w:t>
      </w:r>
      <w:r w:rsidR="00434985" w:rsidRPr="00E037DC">
        <w:rPr>
          <w:sz w:val="20"/>
          <w:szCs w:val="20"/>
        </w:rPr>
        <w:t xml:space="preserve"> to </w:t>
      </w:r>
      <w:r w:rsidR="002764CE" w:rsidRPr="00E037DC">
        <w:rPr>
          <w:sz w:val="20"/>
          <w:szCs w:val="20"/>
          <w:highlight w:val="yellow"/>
        </w:rPr>
        <w:t>__________</w:t>
      </w:r>
      <w:r w:rsidR="00434985" w:rsidRPr="00E037DC">
        <w:rPr>
          <w:sz w:val="20"/>
          <w:szCs w:val="20"/>
        </w:rPr>
        <w:t xml:space="preserve">, both days inclusive. Subscription for the plan is for limited time period only. Only Class “A” Units shall be issued to investors at the Offer Price, during </w:t>
      </w:r>
      <w:r w:rsidR="00E037DC">
        <w:rPr>
          <w:sz w:val="20"/>
          <w:szCs w:val="20"/>
        </w:rPr>
        <w:t xml:space="preserve">initial </w:t>
      </w:r>
      <w:r w:rsidRPr="00E037DC">
        <w:rPr>
          <w:sz w:val="20"/>
          <w:szCs w:val="20"/>
        </w:rPr>
        <w:t xml:space="preserve">offering </w:t>
      </w:r>
      <w:r w:rsidR="00434985" w:rsidRPr="00153CD2">
        <w:rPr>
          <w:sz w:val="20"/>
          <w:szCs w:val="20"/>
        </w:rPr>
        <w:t>period. The units shall be subject to Front-end and a Contingent Load. Class “B” shall be issued as Bonus units. Class “C” units shall be issued as “Dividend re-Investment units”.</w:t>
      </w:r>
    </w:p>
    <w:p w:rsidR="00792244" w:rsidRPr="00792244" w:rsidRDefault="00792244" w:rsidP="00792244">
      <w:pPr>
        <w:ind w:left="2401" w:right="20"/>
        <w:jc w:val="both"/>
        <w:rPr>
          <w:sz w:val="20"/>
          <w:szCs w:val="20"/>
        </w:rPr>
      </w:pPr>
    </w:p>
    <w:p w:rsidR="00434985" w:rsidRPr="00E037DC" w:rsidRDefault="00434985" w:rsidP="00DC10F0">
      <w:pPr>
        <w:numPr>
          <w:ilvl w:val="0"/>
          <w:numId w:val="48"/>
        </w:numPr>
        <w:ind w:right="20"/>
        <w:jc w:val="both"/>
        <w:rPr>
          <w:sz w:val="20"/>
          <w:szCs w:val="20"/>
        </w:rPr>
      </w:pPr>
      <w:r w:rsidRPr="00E037DC">
        <w:rPr>
          <w:b/>
          <w:bCs/>
          <w:color w:val="000000"/>
          <w:sz w:val="20"/>
          <w:szCs w:val="20"/>
        </w:rPr>
        <w:t>Front End Load:</w:t>
      </w:r>
      <w:r w:rsidRPr="00E037DC">
        <w:rPr>
          <w:bCs/>
          <w:color w:val="000000"/>
          <w:sz w:val="20"/>
          <w:szCs w:val="20"/>
        </w:rPr>
        <w:t xml:space="preserve"> 0% to 3%</w:t>
      </w:r>
      <w:r w:rsidR="00F810B4" w:rsidRPr="00E037DC">
        <w:rPr>
          <w:bCs/>
          <w:color w:val="000000"/>
          <w:sz w:val="20"/>
          <w:szCs w:val="20"/>
        </w:rPr>
        <w:t xml:space="preserve"> (as per Annexure B</w:t>
      </w:r>
      <w:r w:rsidR="00E037DC">
        <w:rPr>
          <w:bCs/>
          <w:color w:val="000000"/>
          <w:sz w:val="20"/>
          <w:szCs w:val="20"/>
        </w:rPr>
        <w:t xml:space="preserve"> stated below</w:t>
      </w:r>
      <w:r w:rsidR="00F810B4" w:rsidRPr="00E037DC">
        <w:rPr>
          <w:bCs/>
          <w:color w:val="000000"/>
          <w:sz w:val="20"/>
          <w:szCs w:val="20"/>
        </w:rPr>
        <w:t>)*</w:t>
      </w:r>
    </w:p>
    <w:p w:rsidR="00792244" w:rsidRPr="00792244" w:rsidRDefault="00792244" w:rsidP="00792244">
      <w:pPr>
        <w:ind w:left="2401" w:right="20"/>
        <w:jc w:val="both"/>
        <w:rPr>
          <w:sz w:val="20"/>
          <w:szCs w:val="20"/>
        </w:rPr>
      </w:pPr>
    </w:p>
    <w:p w:rsidR="00434985" w:rsidRPr="00E037DC" w:rsidRDefault="00434985" w:rsidP="00DC10F0">
      <w:pPr>
        <w:numPr>
          <w:ilvl w:val="0"/>
          <w:numId w:val="48"/>
        </w:numPr>
        <w:ind w:right="20"/>
        <w:jc w:val="both"/>
        <w:rPr>
          <w:sz w:val="20"/>
          <w:szCs w:val="20"/>
        </w:rPr>
      </w:pPr>
      <w:r w:rsidRPr="00E037DC">
        <w:rPr>
          <w:b/>
          <w:bCs/>
          <w:color w:val="000000"/>
          <w:sz w:val="20"/>
          <w:szCs w:val="20"/>
        </w:rPr>
        <w:t>Contingent Load on withdrawal</w:t>
      </w:r>
      <w:r w:rsidRPr="00E037DC">
        <w:rPr>
          <w:bCs/>
          <w:color w:val="000000"/>
          <w:sz w:val="20"/>
          <w:szCs w:val="20"/>
        </w:rPr>
        <w:t xml:space="preserve">: </w:t>
      </w:r>
      <w:r w:rsidRPr="00E037DC">
        <w:rPr>
          <w:sz w:val="20"/>
          <w:szCs w:val="20"/>
        </w:rPr>
        <w:t xml:space="preserve">A contingent load as per Annexure ‘B’ shall be applicable in case of redemption before the completion of </w:t>
      </w:r>
      <w:r w:rsidR="00F810B4" w:rsidRPr="00E037DC">
        <w:rPr>
          <w:sz w:val="20"/>
          <w:szCs w:val="20"/>
        </w:rPr>
        <w:t xml:space="preserve">two (2) </w:t>
      </w:r>
      <w:r w:rsidR="00E037DC" w:rsidRPr="00E037DC">
        <w:rPr>
          <w:sz w:val="20"/>
          <w:szCs w:val="20"/>
        </w:rPr>
        <w:t xml:space="preserve">years from the commencement of </w:t>
      </w:r>
      <w:r w:rsidR="00E037DC">
        <w:rPr>
          <w:sz w:val="20"/>
          <w:szCs w:val="20"/>
        </w:rPr>
        <w:t>Life of P</w:t>
      </w:r>
      <w:r w:rsidR="00F810B4" w:rsidRPr="00E037DC">
        <w:rPr>
          <w:sz w:val="20"/>
          <w:szCs w:val="20"/>
        </w:rPr>
        <w:t>lan.</w:t>
      </w:r>
    </w:p>
    <w:p w:rsidR="00013208" w:rsidRDefault="00E037DC" w:rsidP="00E037DC">
      <w:pPr>
        <w:tabs>
          <w:tab w:val="left" w:pos="1640"/>
          <w:tab w:val="left" w:pos="1641"/>
        </w:tabs>
        <w:spacing w:before="4"/>
        <w:ind w:right="20"/>
        <w:jc w:val="both"/>
        <w:rPr>
          <w:bCs/>
          <w:color w:val="000000"/>
          <w:sz w:val="20"/>
          <w:szCs w:val="20"/>
        </w:rPr>
      </w:pPr>
      <w:r>
        <w:rPr>
          <w:bCs/>
          <w:color w:val="000000"/>
          <w:sz w:val="20"/>
          <w:szCs w:val="20"/>
        </w:rPr>
        <w:tab/>
      </w:r>
      <w:r>
        <w:rPr>
          <w:bCs/>
          <w:color w:val="000000"/>
          <w:sz w:val="20"/>
          <w:szCs w:val="20"/>
        </w:rPr>
        <w:tab/>
      </w:r>
      <w:r>
        <w:rPr>
          <w:bCs/>
          <w:color w:val="000000"/>
          <w:sz w:val="20"/>
          <w:szCs w:val="20"/>
        </w:rPr>
        <w:tab/>
      </w:r>
      <w:r>
        <w:rPr>
          <w:bCs/>
          <w:color w:val="000000"/>
          <w:sz w:val="20"/>
          <w:szCs w:val="20"/>
        </w:rPr>
        <w:tab/>
      </w:r>
    </w:p>
    <w:p w:rsidR="00434985" w:rsidRPr="00013208" w:rsidRDefault="00434985" w:rsidP="00013208">
      <w:pPr>
        <w:pStyle w:val="ListParagraph"/>
        <w:numPr>
          <w:ilvl w:val="4"/>
          <w:numId w:val="61"/>
        </w:numPr>
        <w:tabs>
          <w:tab w:val="left" w:pos="1640"/>
          <w:tab w:val="left" w:pos="1641"/>
        </w:tabs>
        <w:spacing w:before="4"/>
        <w:ind w:left="3060" w:right="20"/>
        <w:jc w:val="both"/>
        <w:rPr>
          <w:bCs/>
          <w:color w:val="000000"/>
          <w:sz w:val="20"/>
          <w:szCs w:val="20"/>
        </w:rPr>
      </w:pPr>
      <w:r w:rsidRPr="00013208">
        <w:rPr>
          <w:bCs/>
          <w:color w:val="000000"/>
          <w:sz w:val="20"/>
          <w:szCs w:val="20"/>
        </w:rPr>
        <w:t xml:space="preserve">4% of NAV if withdrawn during First Year </w:t>
      </w:r>
    </w:p>
    <w:p w:rsidR="00434985" w:rsidRPr="00013208" w:rsidRDefault="00434985" w:rsidP="00013208">
      <w:pPr>
        <w:pStyle w:val="ListParagraph"/>
        <w:numPr>
          <w:ilvl w:val="4"/>
          <w:numId w:val="61"/>
        </w:numPr>
        <w:tabs>
          <w:tab w:val="left" w:pos="1640"/>
          <w:tab w:val="left" w:pos="1641"/>
        </w:tabs>
        <w:spacing w:before="2"/>
        <w:ind w:left="3060" w:right="20"/>
        <w:jc w:val="both"/>
        <w:rPr>
          <w:bCs/>
          <w:color w:val="000000"/>
          <w:sz w:val="20"/>
          <w:szCs w:val="20"/>
        </w:rPr>
      </w:pPr>
      <w:r w:rsidRPr="00013208">
        <w:rPr>
          <w:bCs/>
          <w:color w:val="000000"/>
          <w:sz w:val="20"/>
          <w:szCs w:val="20"/>
        </w:rPr>
        <w:t>2% of NAV if withdrawn during Second Year</w:t>
      </w:r>
    </w:p>
    <w:p w:rsidR="00434985" w:rsidRPr="00013208" w:rsidRDefault="00434985" w:rsidP="00013208">
      <w:pPr>
        <w:pStyle w:val="ListParagraph"/>
        <w:numPr>
          <w:ilvl w:val="4"/>
          <w:numId w:val="61"/>
        </w:numPr>
        <w:tabs>
          <w:tab w:val="left" w:pos="1640"/>
          <w:tab w:val="left" w:pos="1641"/>
        </w:tabs>
        <w:spacing w:before="2"/>
        <w:ind w:left="3060" w:right="20"/>
        <w:jc w:val="both"/>
        <w:rPr>
          <w:bCs/>
          <w:color w:val="000000"/>
          <w:sz w:val="20"/>
          <w:szCs w:val="20"/>
        </w:rPr>
      </w:pPr>
      <w:r w:rsidRPr="00013208">
        <w:rPr>
          <w:bCs/>
          <w:color w:val="000000"/>
          <w:sz w:val="20"/>
          <w:szCs w:val="20"/>
        </w:rPr>
        <w:t xml:space="preserve">0% after </w:t>
      </w:r>
      <w:r w:rsidR="00F810B4" w:rsidRPr="00013208">
        <w:rPr>
          <w:bCs/>
          <w:color w:val="000000"/>
          <w:sz w:val="20"/>
          <w:szCs w:val="20"/>
        </w:rPr>
        <w:t xml:space="preserve">Second </w:t>
      </w:r>
      <w:r w:rsidRPr="00013208">
        <w:rPr>
          <w:bCs/>
          <w:color w:val="000000"/>
          <w:sz w:val="20"/>
          <w:szCs w:val="20"/>
        </w:rPr>
        <w:t>Year</w:t>
      </w:r>
    </w:p>
    <w:p w:rsidR="00434985" w:rsidRPr="00E037DC" w:rsidRDefault="00434985" w:rsidP="001A445F">
      <w:pPr>
        <w:ind w:left="2160" w:right="20"/>
        <w:jc w:val="both"/>
        <w:rPr>
          <w:b/>
          <w:sz w:val="20"/>
          <w:szCs w:val="20"/>
        </w:rPr>
      </w:pPr>
    </w:p>
    <w:p w:rsidR="00434985" w:rsidRPr="00E037DC" w:rsidRDefault="00434985" w:rsidP="001A445F">
      <w:pPr>
        <w:ind w:left="2160" w:right="20"/>
        <w:jc w:val="both"/>
        <w:rPr>
          <w:sz w:val="20"/>
          <w:szCs w:val="20"/>
        </w:rPr>
      </w:pPr>
      <w:r w:rsidRPr="00E037DC">
        <w:rPr>
          <w:sz w:val="20"/>
          <w:szCs w:val="20"/>
        </w:rPr>
        <w:t>*Management Company may waive the Front-</w:t>
      </w:r>
      <w:r w:rsidR="00E037DC">
        <w:rPr>
          <w:sz w:val="20"/>
          <w:szCs w:val="20"/>
        </w:rPr>
        <w:t>E</w:t>
      </w:r>
      <w:r w:rsidRPr="00E037DC">
        <w:rPr>
          <w:sz w:val="20"/>
          <w:szCs w:val="20"/>
        </w:rPr>
        <w:t>nd Load fully or partially at its own discretion to any investor.</w:t>
      </w:r>
    </w:p>
    <w:p w:rsidR="00F810B4" w:rsidRPr="003948BA" w:rsidRDefault="00F810B4" w:rsidP="001A445F">
      <w:pPr>
        <w:ind w:left="2160" w:right="20"/>
        <w:jc w:val="both"/>
        <w:rPr>
          <w:i/>
          <w:sz w:val="20"/>
          <w:szCs w:val="24"/>
        </w:rPr>
      </w:pPr>
    </w:p>
    <w:p w:rsidR="005E5B48" w:rsidRPr="003948BA" w:rsidRDefault="00814043" w:rsidP="00A002A6">
      <w:pPr>
        <w:pStyle w:val="Heading5"/>
        <w:numPr>
          <w:ilvl w:val="1"/>
          <w:numId w:val="37"/>
        </w:numPr>
        <w:tabs>
          <w:tab w:val="left" w:pos="2360"/>
          <w:tab w:val="left" w:pos="2361"/>
        </w:tabs>
        <w:spacing w:before="191"/>
        <w:ind w:right="20"/>
        <w:jc w:val="left"/>
      </w:pPr>
      <w:bookmarkStart w:id="13" w:name="_bookmark12"/>
      <w:bookmarkEnd w:id="13"/>
      <w:r w:rsidRPr="003948BA">
        <w:t>Investments outside</w:t>
      </w:r>
      <w:r w:rsidRPr="003948BA">
        <w:rPr>
          <w:spacing w:val="-10"/>
        </w:rPr>
        <w:t xml:space="preserve"> </w:t>
      </w:r>
      <w:r w:rsidRPr="003948BA">
        <w:t>Pakistan</w:t>
      </w:r>
    </w:p>
    <w:p w:rsidR="005E5B48" w:rsidRPr="003948BA" w:rsidRDefault="00814043" w:rsidP="001A445F">
      <w:pPr>
        <w:pStyle w:val="BodyText"/>
        <w:spacing w:before="65"/>
        <w:ind w:left="2360" w:right="20"/>
        <w:jc w:val="both"/>
      </w:pPr>
      <w:r w:rsidRPr="003948BA">
        <w:t>Investments outside Pakistan shall be subject to prior approval from the Commission, the Shariah advisor and the SBP. Such Investments may be made up to 30% of net assets of the Fund and are subject to a cap of US$15</w:t>
      </w:r>
      <w:r w:rsidRPr="003948BA">
        <w:rPr>
          <w:spacing w:val="-27"/>
        </w:rPr>
        <w:t xml:space="preserve"> </w:t>
      </w:r>
      <w:r w:rsidRPr="003948BA">
        <w:t>million.</w:t>
      </w:r>
    </w:p>
    <w:p w:rsidR="005E5B48" w:rsidRPr="003948BA" w:rsidRDefault="005E5B48" w:rsidP="001A445F">
      <w:pPr>
        <w:pStyle w:val="BodyText"/>
        <w:spacing w:before="2"/>
        <w:ind w:right="20"/>
      </w:pPr>
    </w:p>
    <w:p w:rsidR="005E5B48" w:rsidRPr="003948BA" w:rsidRDefault="00814043" w:rsidP="00A002A6">
      <w:pPr>
        <w:pStyle w:val="Heading5"/>
        <w:numPr>
          <w:ilvl w:val="1"/>
          <w:numId w:val="37"/>
        </w:numPr>
        <w:tabs>
          <w:tab w:val="left" w:pos="2360"/>
          <w:tab w:val="left" w:pos="2361"/>
        </w:tabs>
        <w:ind w:right="20" w:hanging="540"/>
        <w:jc w:val="left"/>
      </w:pPr>
      <w:bookmarkStart w:id="14" w:name="_bookmark13"/>
      <w:bookmarkEnd w:id="14"/>
      <w:r w:rsidRPr="003948BA">
        <w:t>Disposal of Haram</w:t>
      </w:r>
      <w:r w:rsidRPr="003948BA">
        <w:rPr>
          <w:spacing w:val="-5"/>
        </w:rPr>
        <w:t xml:space="preserve"> </w:t>
      </w:r>
      <w:r w:rsidRPr="003948BA">
        <w:t>income</w:t>
      </w:r>
    </w:p>
    <w:p w:rsidR="005E5B48" w:rsidRPr="003948BA" w:rsidRDefault="00814043">
      <w:pPr>
        <w:pStyle w:val="BodyText"/>
        <w:ind w:left="2360" w:right="1022"/>
        <w:jc w:val="both"/>
      </w:pPr>
      <w:r w:rsidRPr="003948BA">
        <w:t xml:space="preserve">Where some Haram income accrues to the Fund, it will be donated to a charity in order to purify the </w:t>
      </w:r>
      <w:r w:rsidR="00D75B77" w:rsidRPr="003948BA">
        <w:t>Fund’s</w:t>
      </w:r>
      <w:r w:rsidRPr="003948BA">
        <w:t xml:space="preserve"> income. This will be done in accordance with the guidelines issued by the Shariah advisors from time to time.</w:t>
      </w:r>
    </w:p>
    <w:p w:rsidR="005E5B48" w:rsidRPr="003948BA" w:rsidRDefault="005E5B48">
      <w:pPr>
        <w:pStyle w:val="BodyText"/>
        <w:spacing w:before="4"/>
        <w:rPr>
          <w:sz w:val="31"/>
        </w:rPr>
      </w:pPr>
    </w:p>
    <w:p w:rsidR="005E5B48" w:rsidRPr="003948BA" w:rsidRDefault="00814043" w:rsidP="00A002A6">
      <w:pPr>
        <w:pStyle w:val="Heading5"/>
        <w:numPr>
          <w:ilvl w:val="1"/>
          <w:numId w:val="37"/>
        </w:numPr>
        <w:tabs>
          <w:tab w:val="left" w:pos="2360"/>
          <w:tab w:val="left" w:pos="2361"/>
        </w:tabs>
        <w:ind w:hanging="540"/>
        <w:jc w:val="left"/>
      </w:pPr>
      <w:bookmarkStart w:id="15" w:name="_bookmark14"/>
      <w:bookmarkEnd w:id="15"/>
      <w:r w:rsidRPr="003948BA">
        <w:t>Changes in Investment</w:t>
      </w:r>
      <w:r w:rsidRPr="003948BA">
        <w:rPr>
          <w:spacing w:val="-10"/>
        </w:rPr>
        <w:t xml:space="preserve"> </w:t>
      </w:r>
      <w:r w:rsidRPr="003948BA">
        <w:t>Policy</w:t>
      </w:r>
    </w:p>
    <w:p w:rsidR="005E5B48" w:rsidRPr="003948BA" w:rsidRDefault="00814043">
      <w:pPr>
        <w:pStyle w:val="BodyText"/>
        <w:spacing w:before="66"/>
        <w:ind w:left="2360" w:right="1012"/>
        <w:jc w:val="both"/>
      </w:pPr>
      <w:r w:rsidRPr="003948BA">
        <w:t>The investment policy of Allocation Plans will be governed by the Regulations and/or SECP directives. Any Fundamental change in the Investment Policy of any Allocation Plan will be implemented only after obtaining prior approval from SECP and giving 90 days prior notice to the Unit Holders as specified in the regulation.</w:t>
      </w:r>
    </w:p>
    <w:p w:rsidR="005E5B48" w:rsidRPr="003948BA" w:rsidRDefault="005E5B48">
      <w:pPr>
        <w:pStyle w:val="BodyText"/>
        <w:spacing w:before="11"/>
        <w:rPr>
          <w:sz w:val="29"/>
        </w:rPr>
      </w:pPr>
    </w:p>
    <w:p w:rsidR="005E5B48" w:rsidRPr="003948BA" w:rsidRDefault="00814043" w:rsidP="00A002A6">
      <w:pPr>
        <w:pStyle w:val="Heading5"/>
        <w:numPr>
          <w:ilvl w:val="1"/>
          <w:numId w:val="37"/>
        </w:numPr>
        <w:tabs>
          <w:tab w:val="left" w:pos="2360"/>
          <w:tab w:val="left" w:pos="2361"/>
        </w:tabs>
        <w:ind w:hanging="540"/>
        <w:jc w:val="left"/>
      </w:pPr>
      <w:bookmarkStart w:id="16" w:name="_bookmark15"/>
      <w:bookmarkEnd w:id="16"/>
      <w:r w:rsidRPr="003948BA">
        <w:t>Investment</w:t>
      </w:r>
      <w:r w:rsidRPr="003948BA">
        <w:rPr>
          <w:spacing w:val="-12"/>
        </w:rPr>
        <w:t xml:space="preserve"> </w:t>
      </w:r>
      <w:r w:rsidRPr="003948BA">
        <w:t>Restrictions</w:t>
      </w:r>
    </w:p>
    <w:p w:rsidR="005E5B48" w:rsidRPr="003948BA" w:rsidRDefault="005E5B48">
      <w:pPr>
        <w:pStyle w:val="BodyText"/>
        <w:spacing w:before="7"/>
        <w:rPr>
          <w:b/>
          <w:sz w:val="27"/>
        </w:rPr>
      </w:pPr>
    </w:p>
    <w:p w:rsidR="005E5B48" w:rsidRPr="003948BA" w:rsidRDefault="00814043" w:rsidP="00A002A6">
      <w:pPr>
        <w:pStyle w:val="ListParagraph"/>
        <w:numPr>
          <w:ilvl w:val="2"/>
          <w:numId w:val="37"/>
        </w:numPr>
        <w:tabs>
          <w:tab w:val="left" w:pos="2543"/>
        </w:tabs>
        <w:ind w:right="1012" w:hanging="362"/>
        <w:jc w:val="both"/>
        <w:rPr>
          <w:sz w:val="20"/>
        </w:rPr>
      </w:pPr>
      <w:r w:rsidRPr="003948BA">
        <w:rPr>
          <w:sz w:val="20"/>
        </w:rPr>
        <w:t xml:space="preserve">The Trust Property shall be subject to such exposure limits or other prohibitions as are provided in the Regulations, Trust Deed, this Offering Document of the Fund, circulars and directives and shall also be subject to any exemptions that may be specifically given to the Fund by SECP and are explicitly mentioned under the heading Exceptions to Investment Restriction in this offering document or subsequently in writing. If and so long as the value of the holding in a particular company or sector shall exceed the limit imposed by the Regulations, the Management Company shall not purchase any further Investments in such company or sector. In the event Exposure limits are exceeded due to corporate actions including taking up rights or bonus issue and/or owing to appreciation or depreciation in value of any Investment, disposal of any Investment or Redemption of Units, the excess exposure shall be regularized in such manner and within such time as specified in </w:t>
      </w:r>
      <w:r w:rsidRPr="003948BA">
        <w:rPr>
          <w:spacing w:val="1"/>
          <w:sz w:val="20"/>
        </w:rPr>
        <w:t xml:space="preserve">the </w:t>
      </w:r>
      <w:r w:rsidRPr="003948BA">
        <w:rPr>
          <w:sz w:val="20"/>
        </w:rPr>
        <w:t>Regulations, circular or notification issued by SECP from time to</w:t>
      </w:r>
      <w:r w:rsidRPr="003948BA">
        <w:rPr>
          <w:spacing w:val="-23"/>
          <w:sz w:val="20"/>
        </w:rPr>
        <w:t xml:space="preserve"> </w:t>
      </w:r>
      <w:r w:rsidRPr="003948BA">
        <w:rPr>
          <w:sz w:val="20"/>
        </w:rPr>
        <w:t>time.</w:t>
      </w:r>
    </w:p>
    <w:p w:rsidR="005E5B48" w:rsidRPr="003948BA" w:rsidRDefault="005E5B48">
      <w:pPr>
        <w:pStyle w:val="BodyText"/>
        <w:spacing w:before="2"/>
      </w:pPr>
    </w:p>
    <w:p w:rsidR="005E5B48" w:rsidRPr="003948BA" w:rsidRDefault="00814043" w:rsidP="00A002A6">
      <w:pPr>
        <w:pStyle w:val="ListParagraph"/>
        <w:numPr>
          <w:ilvl w:val="2"/>
          <w:numId w:val="37"/>
        </w:numPr>
        <w:tabs>
          <w:tab w:val="left" w:pos="2543"/>
        </w:tabs>
        <w:ind w:right="1022" w:hanging="362"/>
        <w:jc w:val="both"/>
        <w:rPr>
          <w:sz w:val="20"/>
        </w:rPr>
      </w:pPr>
      <w:r w:rsidRPr="003948BA">
        <w:rPr>
          <w:sz w:val="20"/>
        </w:rPr>
        <w:t>The Management Company, on behalf of the Fund, shall not enter into transactions with any broker that exceeds the limit provided in the Regulations and or circulars and notifications issued by the Commission from time to</w:t>
      </w:r>
      <w:r w:rsidRPr="003948BA">
        <w:rPr>
          <w:spacing w:val="-33"/>
          <w:sz w:val="20"/>
        </w:rPr>
        <w:t xml:space="preserve"> </w:t>
      </w:r>
      <w:r w:rsidRPr="003948BA">
        <w:rPr>
          <w:sz w:val="20"/>
        </w:rPr>
        <w:t>time.</w:t>
      </w:r>
    </w:p>
    <w:p w:rsidR="005E5B48" w:rsidRPr="003948BA" w:rsidRDefault="005E5B48">
      <w:pPr>
        <w:pStyle w:val="BodyText"/>
        <w:spacing w:before="3"/>
        <w:rPr>
          <w:sz w:val="28"/>
        </w:rPr>
      </w:pPr>
    </w:p>
    <w:p w:rsidR="005E5B48" w:rsidRPr="003948BA" w:rsidRDefault="00814043">
      <w:pPr>
        <w:pStyle w:val="BodyText"/>
        <w:spacing w:before="1"/>
        <w:ind w:left="2542" w:right="1301"/>
      </w:pPr>
      <w:r w:rsidRPr="003948BA">
        <w:t>Transactions relating to money market instruments and debt securities do not fall under this clause.</w:t>
      </w:r>
    </w:p>
    <w:p w:rsidR="005E5B48" w:rsidRPr="003948BA" w:rsidRDefault="005E5B48">
      <w:pPr>
        <w:pStyle w:val="BodyText"/>
        <w:spacing w:before="1"/>
      </w:pPr>
    </w:p>
    <w:p w:rsidR="005E5B48" w:rsidRPr="003948BA" w:rsidRDefault="00814043" w:rsidP="00A002A6">
      <w:pPr>
        <w:pStyle w:val="ListParagraph"/>
        <w:numPr>
          <w:ilvl w:val="2"/>
          <w:numId w:val="37"/>
        </w:numPr>
        <w:tabs>
          <w:tab w:val="left" w:pos="2543"/>
        </w:tabs>
        <w:ind w:hanging="362"/>
        <w:rPr>
          <w:sz w:val="20"/>
        </w:rPr>
      </w:pPr>
      <w:r w:rsidRPr="003948BA">
        <w:rPr>
          <w:sz w:val="20"/>
        </w:rPr>
        <w:t>The Management Company on behalf of the Scheme shall</w:t>
      </w:r>
      <w:r w:rsidRPr="003948BA">
        <w:rPr>
          <w:spacing w:val="-26"/>
          <w:sz w:val="20"/>
        </w:rPr>
        <w:t xml:space="preserve"> </w:t>
      </w:r>
      <w:r w:rsidRPr="003948BA">
        <w:rPr>
          <w:sz w:val="20"/>
        </w:rPr>
        <w:t>not:</w:t>
      </w:r>
    </w:p>
    <w:p w:rsidR="005E5B48" w:rsidRPr="003948BA" w:rsidRDefault="005E5B48">
      <w:pPr>
        <w:pStyle w:val="BodyText"/>
        <w:spacing w:before="10"/>
        <w:rPr>
          <w:sz w:val="19"/>
        </w:rPr>
      </w:pPr>
    </w:p>
    <w:p w:rsidR="005E5B48" w:rsidRPr="003948BA" w:rsidRDefault="00814043" w:rsidP="00A002A6">
      <w:pPr>
        <w:pStyle w:val="ListParagraph"/>
        <w:numPr>
          <w:ilvl w:val="3"/>
          <w:numId w:val="37"/>
        </w:numPr>
        <w:tabs>
          <w:tab w:val="left" w:pos="3080"/>
          <w:tab w:val="left" w:pos="3081"/>
        </w:tabs>
        <w:ind w:right="1117" w:hanging="460"/>
        <w:jc w:val="left"/>
        <w:rPr>
          <w:sz w:val="20"/>
        </w:rPr>
      </w:pPr>
      <w:r w:rsidRPr="003948BA">
        <w:rPr>
          <w:sz w:val="20"/>
        </w:rPr>
        <w:t>Make Investments in Non-Shariah Compliant Instruments and against the guidelines of Shariah Advisor of the</w:t>
      </w:r>
      <w:r w:rsidRPr="003948BA">
        <w:rPr>
          <w:spacing w:val="-9"/>
          <w:sz w:val="20"/>
        </w:rPr>
        <w:t xml:space="preserve"> </w:t>
      </w:r>
      <w:r w:rsidRPr="003948BA">
        <w:rPr>
          <w:sz w:val="20"/>
        </w:rPr>
        <w:t>Fund.</w:t>
      </w:r>
    </w:p>
    <w:p w:rsidR="005E5B48" w:rsidRPr="003948BA" w:rsidRDefault="005E5B48">
      <w:pPr>
        <w:pStyle w:val="BodyText"/>
        <w:spacing w:before="1"/>
      </w:pPr>
    </w:p>
    <w:p w:rsidR="005E5B48" w:rsidRPr="003948BA" w:rsidRDefault="00814043" w:rsidP="00A002A6">
      <w:pPr>
        <w:pStyle w:val="ListParagraph"/>
        <w:numPr>
          <w:ilvl w:val="3"/>
          <w:numId w:val="37"/>
        </w:numPr>
        <w:tabs>
          <w:tab w:val="left" w:pos="3080"/>
          <w:tab w:val="left" w:pos="3081"/>
        </w:tabs>
        <w:spacing w:line="228" w:lineRule="exact"/>
        <w:ind w:left="3080" w:hanging="502"/>
        <w:jc w:val="left"/>
        <w:rPr>
          <w:sz w:val="20"/>
        </w:rPr>
      </w:pPr>
      <w:r w:rsidRPr="003948BA">
        <w:rPr>
          <w:sz w:val="20"/>
        </w:rPr>
        <w:t>Purchase or sell</w:t>
      </w:r>
      <w:r w:rsidRPr="003948BA">
        <w:rPr>
          <w:spacing w:val="-9"/>
          <w:sz w:val="20"/>
        </w:rPr>
        <w:t xml:space="preserve"> </w:t>
      </w:r>
      <w:r w:rsidRPr="003948BA">
        <w:rPr>
          <w:sz w:val="20"/>
        </w:rPr>
        <w:t>-</w:t>
      </w:r>
    </w:p>
    <w:p w:rsidR="005E5B48" w:rsidRPr="003948BA" w:rsidRDefault="00814043" w:rsidP="00A002A6">
      <w:pPr>
        <w:pStyle w:val="ListParagraph"/>
        <w:numPr>
          <w:ilvl w:val="4"/>
          <w:numId w:val="37"/>
        </w:numPr>
        <w:tabs>
          <w:tab w:val="left" w:pos="3800"/>
          <w:tab w:val="left" w:pos="3801"/>
        </w:tabs>
        <w:spacing w:line="228" w:lineRule="exact"/>
        <w:ind w:hanging="721"/>
        <w:rPr>
          <w:sz w:val="20"/>
        </w:rPr>
      </w:pPr>
      <w:r w:rsidRPr="003948BA">
        <w:rPr>
          <w:sz w:val="20"/>
        </w:rPr>
        <w:t>Bearer</w:t>
      </w:r>
      <w:r w:rsidRPr="003948BA">
        <w:rPr>
          <w:spacing w:val="-8"/>
          <w:sz w:val="20"/>
        </w:rPr>
        <w:t xml:space="preserve"> </w:t>
      </w:r>
      <w:r w:rsidRPr="003948BA">
        <w:rPr>
          <w:sz w:val="20"/>
        </w:rPr>
        <w:t>securities;</w:t>
      </w:r>
    </w:p>
    <w:p w:rsidR="005E5B48" w:rsidRPr="003948BA" w:rsidRDefault="00814043" w:rsidP="00A002A6">
      <w:pPr>
        <w:pStyle w:val="ListParagraph"/>
        <w:numPr>
          <w:ilvl w:val="4"/>
          <w:numId w:val="37"/>
        </w:numPr>
        <w:tabs>
          <w:tab w:val="left" w:pos="3800"/>
          <w:tab w:val="left" w:pos="3801"/>
        </w:tabs>
        <w:spacing w:before="1"/>
        <w:ind w:hanging="721"/>
        <w:rPr>
          <w:sz w:val="20"/>
        </w:rPr>
      </w:pPr>
      <w:r w:rsidRPr="003948BA">
        <w:rPr>
          <w:sz w:val="20"/>
        </w:rPr>
        <w:t>Securities on</w:t>
      </w:r>
      <w:r w:rsidRPr="003948BA">
        <w:rPr>
          <w:spacing w:val="-9"/>
          <w:sz w:val="20"/>
        </w:rPr>
        <w:t xml:space="preserve"> </w:t>
      </w:r>
      <w:r w:rsidRPr="003948BA">
        <w:rPr>
          <w:sz w:val="20"/>
        </w:rPr>
        <w:t>margin;</w:t>
      </w:r>
    </w:p>
    <w:p w:rsidR="005E5B48" w:rsidRPr="003948BA" w:rsidRDefault="00814043" w:rsidP="00A002A6">
      <w:pPr>
        <w:pStyle w:val="ListParagraph"/>
        <w:numPr>
          <w:ilvl w:val="4"/>
          <w:numId w:val="37"/>
        </w:numPr>
        <w:tabs>
          <w:tab w:val="left" w:pos="3800"/>
          <w:tab w:val="left" w:pos="3801"/>
        </w:tabs>
        <w:spacing w:before="1"/>
        <w:ind w:hanging="721"/>
        <w:rPr>
          <w:sz w:val="20"/>
        </w:rPr>
      </w:pPr>
      <w:r w:rsidRPr="003948BA">
        <w:rPr>
          <w:sz w:val="20"/>
        </w:rPr>
        <w:t>Real estate, commodities or commodity</w:t>
      </w:r>
      <w:r w:rsidRPr="003948BA">
        <w:rPr>
          <w:spacing w:val="-18"/>
          <w:sz w:val="20"/>
        </w:rPr>
        <w:t xml:space="preserve"> </w:t>
      </w:r>
      <w:r w:rsidRPr="003948BA">
        <w:rPr>
          <w:sz w:val="20"/>
        </w:rPr>
        <w:t>contracts;</w:t>
      </w:r>
    </w:p>
    <w:p w:rsidR="005E5B48" w:rsidRPr="003948BA" w:rsidRDefault="00814043" w:rsidP="00A002A6">
      <w:pPr>
        <w:pStyle w:val="ListParagraph"/>
        <w:numPr>
          <w:ilvl w:val="4"/>
          <w:numId w:val="37"/>
        </w:numPr>
        <w:tabs>
          <w:tab w:val="left" w:pos="3800"/>
          <w:tab w:val="left" w:pos="3801"/>
        </w:tabs>
        <w:ind w:right="1223" w:hanging="721"/>
        <w:rPr>
          <w:sz w:val="20"/>
        </w:rPr>
      </w:pPr>
      <w:r w:rsidRPr="003948BA">
        <w:rPr>
          <w:sz w:val="20"/>
        </w:rPr>
        <w:t>Securities which result in assumption of unlimited liability (actual or</w:t>
      </w:r>
      <w:r w:rsidRPr="003948BA">
        <w:rPr>
          <w:spacing w:val="-8"/>
          <w:sz w:val="20"/>
        </w:rPr>
        <w:t xml:space="preserve"> </w:t>
      </w:r>
      <w:r w:rsidRPr="003948BA">
        <w:rPr>
          <w:sz w:val="20"/>
        </w:rPr>
        <w:t>contingent);</w:t>
      </w:r>
    </w:p>
    <w:p w:rsidR="005E5B48" w:rsidRPr="003948BA" w:rsidRDefault="00814043" w:rsidP="00A002A6">
      <w:pPr>
        <w:pStyle w:val="ListParagraph"/>
        <w:numPr>
          <w:ilvl w:val="4"/>
          <w:numId w:val="37"/>
        </w:numPr>
        <w:tabs>
          <w:tab w:val="left" w:pos="3800"/>
          <w:tab w:val="left" w:pos="3801"/>
        </w:tabs>
        <w:spacing w:before="1"/>
        <w:ind w:hanging="721"/>
        <w:rPr>
          <w:sz w:val="20"/>
        </w:rPr>
      </w:pPr>
      <w:r w:rsidRPr="003948BA">
        <w:rPr>
          <w:sz w:val="20"/>
        </w:rPr>
        <w:t>Anything other than Authorized Investments as defined</w:t>
      </w:r>
      <w:r w:rsidRPr="003948BA">
        <w:rPr>
          <w:spacing w:val="-14"/>
          <w:sz w:val="20"/>
        </w:rPr>
        <w:t xml:space="preserve"> </w:t>
      </w:r>
      <w:r w:rsidRPr="003948BA">
        <w:rPr>
          <w:sz w:val="20"/>
        </w:rPr>
        <w:t>herein;</w:t>
      </w:r>
    </w:p>
    <w:p w:rsidR="005E5B48" w:rsidRPr="003948BA" w:rsidRDefault="005E5B48">
      <w:pPr>
        <w:pStyle w:val="BodyText"/>
        <w:spacing w:before="10"/>
        <w:rPr>
          <w:sz w:val="19"/>
        </w:rPr>
      </w:pPr>
    </w:p>
    <w:p w:rsidR="005E5B48" w:rsidRPr="003948BA" w:rsidRDefault="00814043" w:rsidP="00A002A6">
      <w:pPr>
        <w:pStyle w:val="ListParagraph"/>
        <w:numPr>
          <w:ilvl w:val="3"/>
          <w:numId w:val="37"/>
        </w:numPr>
        <w:tabs>
          <w:tab w:val="left" w:pos="3080"/>
          <w:tab w:val="left" w:pos="3081"/>
        </w:tabs>
        <w:ind w:left="3080" w:hanging="547"/>
        <w:jc w:val="left"/>
        <w:rPr>
          <w:sz w:val="20"/>
        </w:rPr>
      </w:pPr>
      <w:r w:rsidRPr="003948BA">
        <w:rPr>
          <w:sz w:val="20"/>
        </w:rPr>
        <w:t>Participate in a joint account with others in any</w:t>
      </w:r>
      <w:r w:rsidRPr="003948BA">
        <w:rPr>
          <w:spacing w:val="-29"/>
          <w:sz w:val="20"/>
        </w:rPr>
        <w:t xml:space="preserve"> </w:t>
      </w:r>
      <w:r w:rsidRPr="003948BA">
        <w:rPr>
          <w:sz w:val="20"/>
        </w:rPr>
        <w:t>transaction;</w:t>
      </w:r>
    </w:p>
    <w:p w:rsidR="005E5B48" w:rsidRPr="003948BA" w:rsidRDefault="005E5B48">
      <w:pPr>
        <w:pStyle w:val="BodyText"/>
      </w:pPr>
    </w:p>
    <w:p w:rsidR="005E5B48" w:rsidRPr="003948BA" w:rsidRDefault="00814043" w:rsidP="00A002A6">
      <w:pPr>
        <w:pStyle w:val="ListParagraph"/>
        <w:numPr>
          <w:ilvl w:val="3"/>
          <w:numId w:val="37"/>
        </w:numPr>
        <w:tabs>
          <w:tab w:val="left" w:pos="3080"/>
          <w:tab w:val="left" w:pos="3081"/>
        </w:tabs>
        <w:spacing w:before="1"/>
        <w:ind w:left="3080" w:hanging="559"/>
        <w:jc w:val="left"/>
        <w:rPr>
          <w:sz w:val="20"/>
        </w:rPr>
      </w:pPr>
      <w:r w:rsidRPr="003948BA">
        <w:rPr>
          <w:sz w:val="20"/>
        </w:rPr>
        <w:t>Affect a short sale in a security whether listed or</w:t>
      </w:r>
      <w:r w:rsidRPr="003948BA">
        <w:rPr>
          <w:spacing w:val="-21"/>
          <w:sz w:val="20"/>
        </w:rPr>
        <w:t xml:space="preserve"> </w:t>
      </w:r>
      <w:r w:rsidRPr="003948BA">
        <w:rPr>
          <w:sz w:val="20"/>
        </w:rPr>
        <w:t>unlisted;</w:t>
      </w:r>
    </w:p>
    <w:p w:rsidR="005E5B48" w:rsidRPr="003948BA" w:rsidRDefault="005E5B48">
      <w:pPr>
        <w:pStyle w:val="BodyText"/>
      </w:pPr>
    </w:p>
    <w:p w:rsidR="005E5B48" w:rsidRPr="003948BA" w:rsidRDefault="00814043" w:rsidP="00A002A6">
      <w:pPr>
        <w:pStyle w:val="ListParagraph"/>
        <w:numPr>
          <w:ilvl w:val="3"/>
          <w:numId w:val="37"/>
        </w:numPr>
        <w:tabs>
          <w:tab w:val="left" w:pos="3080"/>
          <w:tab w:val="left" w:pos="3081"/>
        </w:tabs>
        <w:ind w:left="3080" w:hanging="514"/>
        <w:jc w:val="left"/>
        <w:rPr>
          <w:sz w:val="20"/>
        </w:rPr>
      </w:pPr>
      <w:r w:rsidRPr="003948BA">
        <w:rPr>
          <w:sz w:val="20"/>
        </w:rPr>
        <w:t>Take direct exposure to</w:t>
      </w:r>
      <w:r w:rsidRPr="003948BA">
        <w:rPr>
          <w:spacing w:val="-7"/>
          <w:sz w:val="20"/>
        </w:rPr>
        <w:t xml:space="preserve"> </w:t>
      </w:r>
      <w:r w:rsidRPr="003948BA">
        <w:rPr>
          <w:sz w:val="20"/>
        </w:rPr>
        <w:t>equities</w:t>
      </w:r>
    </w:p>
    <w:p w:rsidR="005E5B48" w:rsidRPr="003948BA" w:rsidRDefault="005E5B48">
      <w:pPr>
        <w:pStyle w:val="BodyText"/>
        <w:spacing w:before="10"/>
        <w:rPr>
          <w:sz w:val="19"/>
        </w:rPr>
      </w:pPr>
    </w:p>
    <w:p w:rsidR="005E5B48" w:rsidRPr="003948BA" w:rsidRDefault="00814043" w:rsidP="00A002A6">
      <w:pPr>
        <w:pStyle w:val="ListParagraph"/>
        <w:numPr>
          <w:ilvl w:val="3"/>
          <w:numId w:val="37"/>
        </w:numPr>
        <w:tabs>
          <w:tab w:val="left" w:pos="3080"/>
          <w:tab w:val="left" w:pos="3081"/>
        </w:tabs>
        <w:ind w:left="3080" w:hanging="559"/>
        <w:jc w:val="left"/>
        <w:rPr>
          <w:sz w:val="20"/>
        </w:rPr>
      </w:pPr>
      <w:r w:rsidRPr="003948BA">
        <w:rPr>
          <w:sz w:val="20"/>
        </w:rPr>
        <w:t>Purchase any security in a forward</w:t>
      </w:r>
      <w:r w:rsidRPr="003948BA">
        <w:rPr>
          <w:spacing w:val="-11"/>
          <w:sz w:val="20"/>
        </w:rPr>
        <w:t xml:space="preserve"> </w:t>
      </w:r>
      <w:r w:rsidRPr="003948BA">
        <w:rPr>
          <w:sz w:val="20"/>
        </w:rPr>
        <w:t>contract</w:t>
      </w:r>
    </w:p>
    <w:p w:rsidR="005E5B48" w:rsidRPr="003948BA" w:rsidRDefault="005E5B48">
      <w:pPr>
        <w:pStyle w:val="BodyText"/>
        <w:spacing w:before="4"/>
      </w:pPr>
    </w:p>
    <w:p w:rsidR="005E5B48" w:rsidRPr="003948BA" w:rsidRDefault="00814043" w:rsidP="00A002A6">
      <w:pPr>
        <w:pStyle w:val="ListParagraph"/>
        <w:numPr>
          <w:ilvl w:val="3"/>
          <w:numId w:val="37"/>
        </w:numPr>
        <w:tabs>
          <w:tab w:val="left" w:pos="3083"/>
        </w:tabs>
        <w:ind w:right="1021" w:hanging="604"/>
        <w:jc w:val="both"/>
        <w:rPr>
          <w:sz w:val="20"/>
        </w:rPr>
      </w:pPr>
      <w:r w:rsidRPr="003948BA">
        <w:rPr>
          <w:sz w:val="20"/>
        </w:rPr>
        <w:t>Lend, assume, guarantee, endorse or otherwise become directly or contingently liable for or in connection with any obligation or indebtedness of any person as specified in the</w:t>
      </w:r>
      <w:r w:rsidRPr="003948BA">
        <w:rPr>
          <w:spacing w:val="-12"/>
          <w:sz w:val="20"/>
        </w:rPr>
        <w:t xml:space="preserve"> </w:t>
      </w:r>
      <w:r w:rsidRPr="003948BA">
        <w:rPr>
          <w:sz w:val="20"/>
        </w:rPr>
        <w:t>Regulation;</w:t>
      </w:r>
    </w:p>
    <w:p w:rsidR="005E5B48" w:rsidRPr="003948BA" w:rsidRDefault="005E5B48">
      <w:pPr>
        <w:pStyle w:val="BodyText"/>
        <w:spacing w:before="8"/>
        <w:rPr>
          <w:sz w:val="19"/>
        </w:rPr>
      </w:pPr>
    </w:p>
    <w:p w:rsidR="001A445F" w:rsidRPr="003948BA" w:rsidRDefault="00814043" w:rsidP="00A002A6">
      <w:pPr>
        <w:pStyle w:val="ListParagraph"/>
        <w:numPr>
          <w:ilvl w:val="3"/>
          <w:numId w:val="37"/>
        </w:numPr>
        <w:spacing w:line="225" w:lineRule="exact"/>
        <w:ind w:left="3080" w:right="1016" w:hanging="559"/>
        <w:jc w:val="left"/>
        <w:rPr>
          <w:sz w:val="20"/>
        </w:rPr>
      </w:pPr>
      <w:r w:rsidRPr="003948BA">
        <w:rPr>
          <w:sz w:val="20"/>
        </w:rPr>
        <w:t>Make any investment which will vest with the Management Company or its group the management or control of the affairs of the investee</w:t>
      </w:r>
      <w:r w:rsidRPr="003948BA">
        <w:rPr>
          <w:spacing w:val="-37"/>
          <w:sz w:val="20"/>
        </w:rPr>
        <w:t xml:space="preserve"> </w:t>
      </w:r>
      <w:r w:rsidRPr="003948BA">
        <w:rPr>
          <w:sz w:val="20"/>
        </w:rPr>
        <w:t>company.</w:t>
      </w:r>
    </w:p>
    <w:p w:rsidR="001A445F" w:rsidRPr="003948BA" w:rsidRDefault="001A445F" w:rsidP="001A445F">
      <w:pPr>
        <w:pStyle w:val="ListParagraph"/>
        <w:rPr>
          <w:sz w:val="20"/>
        </w:rPr>
      </w:pPr>
    </w:p>
    <w:p w:rsidR="005E5B48" w:rsidRPr="003948BA" w:rsidRDefault="00814043" w:rsidP="00A002A6">
      <w:pPr>
        <w:pStyle w:val="ListParagraph"/>
        <w:numPr>
          <w:ilvl w:val="3"/>
          <w:numId w:val="37"/>
        </w:numPr>
        <w:spacing w:line="225" w:lineRule="exact"/>
        <w:ind w:left="3080" w:right="1016" w:hanging="559"/>
        <w:jc w:val="left"/>
        <w:rPr>
          <w:sz w:val="20"/>
        </w:rPr>
      </w:pPr>
      <w:r w:rsidRPr="003948BA">
        <w:rPr>
          <w:sz w:val="20"/>
        </w:rPr>
        <w:t>invest in securities of the Management</w:t>
      </w:r>
      <w:r w:rsidRPr="003948BA">
        <w:rPr>
          <w:spacing w:val="-13"/>
          <w:sz w:val="20"/>
        </w:rPr>
        <w:t xml:space="preserve"> </w:t>
      </w:r>
      <w:r w:rsidRPr="003948BA">
        <w:rPr>
          <w:sz w:val="20"/>
        </w:rPr>
        <w:t>Company</w:t>
      </w:r>
    </w:p>
    <w:p w:rsidR="005E5B48" w:rsidRPr="003948BA" w:rsidRDefault="005E5B48">
      <w:pPr>
        <w:pStyle w:val="BodyText"/>
        <w:spacing w:before="10"/>
        <w:rPr>
          <w:sz w:val="19"/>
        </w:rPr>
      </w:pPr>
    </w:p>
    <w:p w:rsidR="005E5B48" w:rsidRPr="003948BA" w:rsidRDefault="00814043" w:rsidP="00A002A6">
      <w:pPr>
        <w:pStyle w:val="ListParagraph"/>
        <w:numPr>
          <w:ilvl w:val="3"/>
          <w:numId w:val="37"/>
        </w:numPr>
        <w:tabs>
          <w:tab w:val="left" w:pos="3080"/>
          <w:tab w:val="left" w:pos="3081"/>
        </w:tabs>
        <w:ind w:right="1257" w:hanging="516"/>
        <w:jc w:val="left"/>
        <w:rPr>
          <w:sz w:val="20"/>
        </w:rPr>
      </w:pPr>
      <w:r w:rsidRPr="003948BA">
        <w:rPr>
          <w:sz w:val="20"/>
        </w:rPr>
        <w:t>issue a senior security which is either stock or represents indebtedness, without the prior written approval of the</w:t>
      </w:r>
      <w:r w:rsidRPr="003948BA">
        <w:rPr>
          <w:spacing w:val="-17"/>
          <w:sz w:val="20"/>
        </w:rPr>
        <w:t xml:space="preserve"> </w:t>
      </w:r>
      <w:r w:rsidRPr="003948BA">
        <w:rPr>
          <w:sz w:val="20"/>
        </w:rPr>
        <w:t>Commission</w:t>
      </w:r>
    </w:p>
    <w:p w:rsidR="005E5B48" w:rsidRPr="003948BA" w:rsidRDefault="005E5B48">
      <w:pPr>
        <w:pStyle w:val="BodyText"/>
        <w:spacing w:before="1"/>
      </w:pPr>
    </w:p>
    <w:p w:rsidR="005E5B48" w:rsidRPr="003948BA" w:rsidRDefault="00814043" w:rsidP="00A002A6">
      <w:pPr>
        <w:pStyle w:val="ListParagraph"/>
        <w:numPr>
          <w:ilvl w:val="3"/>
          <w:numId w:val="37"/>
        </w:numPr>
        <w:tabs>
          <w:tab w:val="left" w:pos="3083"/>
        </w:tabs>
        <w:ind w:right="1024" w:hanging="561"/>
        <w:jc w:val="both"/>
        <w:rPr>
          <w:sz w:val="20"/>
        </w:rPr>
      </w:pPr>
      <w:r w:rsidRPr="003948BA">
        <w:rPr>
          <w:sz w:val="20"/>
        </w:rPr>
        <w:t>apply for de-listing from stock exchange, unless it has obtained prior written approval of the</w:t>
      </w:r>
      <w:r w:rsidRPr="003948BA">
        <w:rPr>
          <w:spacing w:val="-10"/>
          <w:sz w:val="20"/>
        </w:rPr>
        <w:t xml:space="preserve"> </w:t>
      </w:r>
      <w:r w:rsidRPr="003948BA">
        <w:rPr>
          <w:sz w:val="20"/>
        </w:rPr>
        <w:t>Commission.</w:t>
      </w:r>
    </w:p>
    <w:p w:rsidR="005E5B48" w:rsidRPr="003948BA" w:rsidRDefault="005E5B48">
      <w:pPr>
        <w:pStyle w:val="BodyText"/>
        <w:spacing w:before="8"/>
        <w:rPr>
          <w:sz w:val="19"/>
        </w:rPr>
      </w:pPr>
    </w:p>
    <w:p w:rsidR="005E5B48" w:rsidRPr="003948BA" w:rsidRDefault="00814043" w:rsidP="00A002A6">
      <w:pPr>
        <w:pStyle w:val="ListParagraph"/>
        <w:numPr>
          <w:ilvl w:val="3"/>
          <w:numId w:val="37"/>
        </w:numPr>
        <w:tabs>
          <w:tab w:val="left" w:pos="3083"/>
        </w:tabs>
        <w:ind w:right="1016" w:hanging="604"/>
        <w:jc w:val="both"/>
        <w:rPr>
          <w:sz w:val="20"/>
        </w:rPr>
      </w:pPr>
      <w:r w:rsidRPr="003948BA">
        <w:rPr>
          <w:sz w:val="20"/>
        </w:rPr>
        <w:t>sell or issue Units for consideration other than cash unless permitted by the Commission on the basis of structure and investment policy of the Scheme.</w:t>
      </w:r>
    </w:p>
    <w:p w:rsidR="005E5B48" w:rsidRPr="003948BA" w:rsidRDefault="005E5B48">
      <w:pPr>
        <w:pStyle w:val="BodyText"/>
        <w:spacing w:before="2"/>
      </w:pPr>
    </w:p>
    <w:p w:rsidR="005E5B48" w:rsidRPr="003948BA" w:rsidRDefault="00814043" w:rsidP="00A002A6">
      <w:pPr>
        <w:pStyle w:val="ListParagraph"/>
        <w:numPr>
          <w:ilvl w:val="3"/>
          <w:numId w:val="37"/>
        </w:numPr>
        <w:tabs>
          <w:tab w:val="left" w:pos="3083"/>
        </w:tabs>
        <w:ind w:right="1016" w:hanging="650"/>
        <w:jc w:val="both"/>
        <w:rPr>
          <w:sz w:val="20"/>
        </w:rPr>
      </w:pPr>
      <w:r w:rsidRPr="003948BA">
        <w:rPr>
          <w:sz w:val="20"/>
        </w:rPr>
        <w:t>Merge with, acquire or take over any scheme, unless it has obtained the prior approval of the SECP in writing to the scheme of such merger, acquisition or take</w:t>
      </w:r>
      <w:r w:rsidRPr="003948BA">
        <w:rPr>
          <w:spacing w:val="-13"/>
          <w:sz w:val="20"/>
        </w:rPr>
        <w:t xml:space="preserve"> </w:t>
      </w:r>
      <w:r w:rsidRPr="003948BA">
        <w:rPr>
          <w:sz w:val="20"/>
        </w:rPr>
        <w:t>over.</w:t>
      </w:r>
    </w:p>
    <w:p w:rsidR="005E5B48" w:rsidRPr="003948BA" w:rsidRDefault="005E5B48">
      <w:pPr>
        <w:pStyle w:val="BodyText"/>
        <w:spacing w:before="2"/>
      </w:pPr>
    </w:p>
    <w:p w:rsidR="00FE2847" w:rsidRPr="003948BA" w:rsidRDefault="005851C1" w:rsidP="00FE2847">
      <w:pPr>
        <w:pStyle w:val="ListParagraph"/>
        <w:numPr>
          <w:ilvl w:val="3"/>
          <w:numId w:val="37"/>
        </w:numPr>
        <w:tabs>
          <w:tab w:val="left" w:pos="3080"/>
          <w:tab w:val="left" w:pos="3081"/>
        </w:tabs>
        <w:spacing w:before="1"/>
        <w:ind w:left="3080" w:hanging="660"/>
        <w:jc w:val="left"/>
      </w:pPr>
      <w:r w:rsidRPr="003948BA">
        <w:rPr>
          <w:sz w:val="20"/>
        </w:rPr>
        <w:t xml:space="preserve">however the Management Company may invest the subscription money in money market scheme managed by the management company during the </w:t>
      </w:r>
      <w:r w:rsidR="000355B0">
        <w:rPr>
          <w:sz w:val="20"/>
        </w:rPr>
        <w:t>Pre-IPO &amp; IPO</w:t>
      </w:r>
      <w:r w:rsidRPr="003948BA">
        <w:rPr>
          <w:sz w:val="20"/>
        </w:rPr>
        <w:t xml:space="preserve"> Period</w:t>
      </w:r>
    </w:p>
    <w:p w:rsidR="005E5B48" w:rsidRPr="003948BA" w:rsidRDefault="00814043" w:rsidP="00A002A6">
      <w:pPr>
        <w:pStyle w:val="ListParagraph"/>
        <w:numPr>
          <w:ilvl w:val="3"/>
          <w:numId w:val="37"/>
        </w:numPr>
        <w:tabs>
          <w:tab w:val="left" w:pos="3083"/>
        </w:tabs>
        <w:ind w:right="1010" w:hanging="614"/>
        <w:jc w:val="both"/>
        <w:rPr>
          <w:sz w:val="20"/>
        </w:rPr>
      </w:pPr>
      <w:r w:rsidRPr="003948BA">
        <w:rPr>
          <w:sz w:val="20"/>
        </w:rPr>
        <w:t>enter on behalf of the Scheme, into underwriting or sub-underwriting contracts.</w:t>
      </w:r>
    </w:p>
    <w:p w:rsidR="005E5B48" w:rsidRPr="003948BA" w:rsidRDefault="005E5B48">
      <w:pPr>
        <w:pStyle w:val="BodyText"/>
        <w:spacing w:before="1"/>
      </w:pPr>
    </w:p>
    <w:p w:rsidR="005E5B48" w:rsidRPr="003948BA" w:rsidRDefault="00814043" w:rsidP="00A002A6">
      <w:pPr>
        <w:pStyle w:val="ListParagraph"/>
        <w:numPr>
          <w:ilvl w:val="3"/>
          <w:numId w:val="37"/>
        </w:numPr>
        <w:tabs>
          <w:tab w:val="left" w:pos="3083"/>
        </w:tabs>
        <w:ind w:right="1005" w:hanging="662"/>
        <w:jc w:val="both"/>
        <w:rPr>
          <w:sz w:val="20"/>
        </w:rPr>
      </w:pPr>
      <w:r w:rsidRPr="003948BA">
        <w:rPr>
          <w:sz w:val="20"/>
        </w:rPr>
        <w:t>subscribe to an issue underwritten, co-underwritten or sub-underwritten by group companies of the Management</w:t>
      </w:r>
      <w:r w:rsidRPr="003948BA">
        <w:rPr>
          <w:spacing w:val="-8"/>
          <w:sz w:val="20"/>
        </w:rPr>
        <w:t xml:space="preserve"> </w:t>
      </w:r>
      <w:r w:rsidRPr="003948BA">
        <w:rPr>
          <w:sz w:val="20"/>
        </w:rPr>
        <w:t>Company.</w:t>
      </w:r>
    </w:p>
    <w:p w:rsidR="005E5B48" w:rsidRPr="003948BA" w:rsidRDefault="005E5B48">
      <w:pPr>
        <w:pStyle w:val="BodyText"/>
        <w:spacing w:before="1"/>
      </w:pPr>
    </w:p>
    <w:p w:rsidR="005E5B48" w:rsidRPr="003948BA" w:rsidRDefault="00814043" w:rsidP="00A002A6">
      <w:pPr>
        <w:pStyle w:val="ListParagraph"/>
        <w:numPr>
          <w:ilvl w:val="3"/>
          <w:numId w:val="37"/>
        </w:numPr>
        <w:tabs>
          <w:tab w:val="left" w:pos="3083"/>
        </w:tabs>
        <w:spacing w:before="1"/>
        <w:ind w:right="1017" w:hanging="708"/>
        <w:jc w:val="both"/>
        <w:rPr>
          <w:sz w:val="20"/>
        </w:rPr>
      </w:pPr>
      <w:r w:rsidRPr="003948BA">
        <w:rPr>
          <w:sz w:val="20"/>
        </w:rPr>
        <w:t xml:space="preserve">pledge any of the securities held or beneficially owned by the Scheme </w:t>
      </w:r>
      <w:r w:rsidRPr="003948BA">
        <w:rPr>
          <w:sz w:val="20"/>
        </w:rPr>
        <w:lastRenderedPageBreak/>
        <w:t>except as allowed under the</w:t>
      </w:r>
      <w:r w:rsidRPr="003948BA">
        <w:rPr>
          <w:spacing w:val="-17"/>
          <w:sz w:val="20"/>
        </w:rPr>
        <w:t xml:space="preserve"> </w:t>
      </w:r>
      <w:r w:rsidRPr="003948BA">
        <w:rPr>
          <w:sz w:val="20"/>
        </w:rPr>
        <w:t>Regulations.</w:t>
      </w:r>
    </w:p>
    <w:p w:rsidR="005E5B48" w:rsidRPr="003948BA" w:rsidRDefault="005E5B48">
      <w:pPr>
        <w:pStyle w:val="BodyText"/>
        <w:spacing w:before="10"/>
        <w:rPr>
          <w:sz w:val="19"/>
        </w:rPr>
      </w:pPr>
    </w:p>
    <w:p w:rsidR="005E5B48" w:rsidRPr="003948BA" w:rsidRDefault="00814043" w:rsidP="00A002A6">
      <w:pPr>
        <w:pStyle w:val="ListParagraph"/>
        <w:numPr>
          <w:ilvl w:val="3"/>
          <w:numId w:val="37"/>
        </w:numPr>
        <w:tabs>
          <w:tab w:val="left" w:pos="3080"/>
          <w:tab w:val="left" w:pos="3081"/>
        </w:tabs>
        <w:ind w:left="3080" w:hanging="749"/>
        <w:jc w:val="left"/>
        <w:rPr>
          <w:sz w:val="20"/>
        </w:rPr>
      </w:pPr>
      <w:r w:rsidRPr="003948BA">
        <w:rPr>
          <w:sz w:val="20"/>
        </w:rPr>
        <w:t>accept</w:t>
      </w:r>
      <w:r w:rsidRPr="003948BA">
        <w:rPr>
          <w:spacing w:val="-8"/>
          <w:sz w:val="20"/>
        </w:rPr>
        <w:t xml:space="preserve"> </w:t>
      </w:r>
      <w:r w:rsidRPr="003948BA">
        <w:rPr>
          <w:sz w:val="20"/>
        </w:rPr>
        <w:t>deposits</w:t>
      </w:r>
    </w:p>
    <w:p w:rsidR="005E5B48" w:rsidRPr="003948BA" w:rsidRDefault="005E5B48">
      <w:pPr>
        <w:pStyle w:val="BodyText"/>
        <w:spacing w:before="4"/>
        <w:rPr>
          <w:sz w:val="26"/>
        </w:rPr>
      </w:pPr>
    </w:p>
    <w:p w:rsidR="005E5B48" w:rsidRPr="003948BA" w:rsidRDefault="00814043" w:rsidP="00A002A6">
      <w:pPr>
        <w:pStyle w:val="ListParagraph"/>
        <w:numPr>
          <w:ilvl w:val="3"/>
          <w:numId w:val="37"/>
        </w:numPr>
        <w:tabs>
          <w:tab w:val="left" w:pos="3083"/>
        </w:tabs>
        <w:ind w:right="1017" w:hanging="770"/>
        <w:jc w:val="both"/>
        <w:rPr>
          <w:sz w:val="20"/>
        </w:rPr>
      </w:pPr>
      <w:r w:rsidRPr="003948BA">
        <w:rPr>
          <w:sz w:val="20"/>
        </w:rPr>
        <w:t>make a loan or advance money to any person from the assets of the Scheme</w:t>
      </w:r>
    </w:p>
    <w:p w:rsidR="005E5B48" w:rsidRPr="003948BA" w:rsidRDefault="005E5B48">
      <w:pPr>
        <w:pStyle w:val="BodyText"/>
        <w:spacing w:before="1"/>
      </w:pPr>
    </w:p>
    <w:p w:rsidR="005E5B48" w:rsidRPr="00173787" w:rsidRDefault="00814043" w:rsidP="00A002A6">
      <w:pPr>
        <w:pStyle w:val="ListParagraph"/>
        <w:numPr>
          <w:ilvl w:val="3"/>
          <w:numId w:val="37"/>
        </w:numPr>
        <w:tabs>
          <w:tab w:val="left" w:pos="3083"/>
        </w:tabs>
        <w:ind w:right="1013" w:hanging="770"/>
        <w:jc w:val="both"/>
        <w:rPr>
          <w:b/>
          <w:sz w:val="20"/>
        </w:rPr>
      </w:pPr>
      <w:r w:rsidRPr="003948BA">
        <w:rPr>
          <w:sz w:val="20"/>
        </w:rPr>
        <w:t xml:space="preserve">Rating of any Islamic Bank or Islamic window of scheduled </w:t>
      </w:r>
      <w:r w:rsidR="00936A08">
        <w:rPr>
          <w:sz w:val="20"/>
        </w:rPr>
        <w:t>conventional</w:t>
      </w:r>
      <w:r w:rsidR="00936A08" w:rsidRPr="003948BA">
        <w:rPr>
          <w:sz w:val="20"/>
        </w:rPr>
        <w:t xml:space="preserve"> </w:t>
      </w:r>
      <w:r w:rsidRPr="003948BA">
        <w:rPr>
          <w:sz w:val="20"/>
        </w:rPr>
        <w:t>banks shall not be lower than</w:t>
      </w:r>
      <w:r w:rsidRPr="003948BA">
        <w:rPr>
          <w:spacing w:val="-4"/>
          <w:sz w:val="20"/>
        </w:rPr>
        <w:t xml:space="preserve"> </w:t>
      </w:r>
      <w:r w:rsidR="00991428" w:rsidRPr="003948BA">
        <w:rPr>
          <w:b/>
          <w:sz w:val="20"/>
        </w:rPr>
        <w:t xml:space="preserve">(AA- </w:t>
      </w:r>
      <w:r w:rsidR="008E7BCF" w:rsidRPr="003948BA">
        <w:rPr>
          <w:b/>
          <w:sz w:val="20"/>
        </w:rPr>
        <w:t xml:space="preserve">&amp; above </w:t>
      </w:r>
      <w:proofErr w:type="gramStart"/>
      <w:r w:rsidR="00991428" w:rsidRPr="003948BA">
        <w:rPr>
          <w:b/>
          <w:sz w:val="20"/>
        </w:rPr>
        <w:t xml:space="preserve">for </w:t>
      </w:r>
      <w:r w:rsidR="0084571C">
        <w:rPr>
          <w:b/>
          <w:sz w:val="20"/>
        </w:rPr>
        <w:t xml:space="preserve"> CPPI</w:t>
      </w:r>
      <w:proofErr w:type="gramEnd"/>
      <w:r w:rsidR="00991428" w:rsidRPr="003948BA">
        <w:rPr>
          <w:b/>
          <w:sz w:val="20"/>
        </w:rPr>
        <w:t xml:space="preserve"> </w:t>
      </w:r>
      <w:r w:rsidR="0084571C">
        <w:rPr>
          <w:b/>
          <w:sz w:val="20"/>
        </w:rPr>
        <w:t xml:space="preserve">based </w:t>
      </w:r>
      <w:r w:rsidR="00991428" w:rsidRPr="003948BA">
        <w:rPr>
          <w:b/>
          <w:sz w:val="20"/>
        </w:rPr>
        <w:t>Plan only)</w:t>
      </w:r>
      <w:r w:rsidR="00991428" w:rsidRPr="003948BA">
        <w:rPr>
          <w:sz w:val="20"/>
        </w:rPr>
        <w:t>, or as allowed for “Fund of Funds” category from time to time.</w:t>
      </w:r>
    </w:p>
    <w:p w:rsidR="00DC161C" w:rsidRPr="00173787" w:rsidRDefault="00DC161C" w:rsidP="00173787">
      <w:pPr>
        <w:pStyle w:val="ListParagraph"/>
        <w:rPr>
          <w:b/>
          <w:sz w:val="20"/>
        </w:rPr>
      </w:pPr>
    </w:p>
    <w:p w:rsidR="00DC161C" w:rsidRPr="00173787" w:rsidRDefault="00DC161C" w:rsidP="00A002A6">
      <w:pPr>
        <w:pStyle w:val="ListParagraph"/>
        <w:numPr>
          <w:ilvl w:val="3"/>
          <w:numId w:val="37"/>
        </w:numPr>
        <w:tabs>
          <w:tab w:val="left" w:pos="3083"/>
        </w:tabs>
        <w:ind w:right="1013" w:hanging="770"/>
        <w:jc w:val="both"/>
        <w:rPr>
          <w:sz w:val="20"/>
        </w:rPr>
      </w:pPr>
      <w:r w:rsidRPr="00173787">
        <w:rPr>
          <w:sz w:val="20"/>
        </w:rPr>
        <w:t>Rating of any bank of DFI with which the Funds are placed should not be lower than A- (A minus).</w:t>
      </w:r>
    </w:p>
    <w:p w:rsidR="005E5B48" w:rsidRPr="003948BA" w:rsidRDefault="005E5B48">
      <w:pPr>
        <w:pStyle w:val="BodyText"/>
        <w:spacing w:before="2"/>
        <w:rPr>
          <w:b/>
        </w:rPr>
      </w:pPr>
    </w:p>
    <w:p w:rsidR="005E5B48" w:rsidRPr="003948BA" w:rsidRDefault="00814043" w:rsidP="00A002A6">
      <w:pPr>
        <w:pStyle w:val="ListParagraph"/>
        <w:numPr>
          <w:ilvl w:val="2"/>
          <w:numId w:val="37"/>
        </w:numPr>
        <w:tabs>
          <w:tab w:val="left" w:pos="2543"/>
        </w:tabs>
        <w:ind w:right="1011" w:hanging="362"/>
        <w:jc w:val="both"/>
        <w:rPr>
          <w:sz w:val="20"/>
        </w:rPr>
      </w:pPr>
      <w:r w:rsidRPr="003948BA">
        <w:rPr>
          <w:sz w:val="20"/>
        </w:rPr>
        <w:t xml:space="preserve">In case of redemptions requests are pending due to constraint of liquidity in the Fund, for more than the period as stipulated in the Regulations, </w:t>
      </w:r>
      <w:r w:rsidR="00D75B77" w:rsidRPr="003948BA">
        <w:rPr>
          <w:sz w:val="20"/>
        </w:rPr>
        <w:t>the Management</w:t>
      </w:r>
      <w:r w:rsidRPr="003948BA">
        <w:rPr>
          <w:sz w:val="20"/>
        </w:rPr>
        <w:t xml:space="preserve"> Company shall not make any fresh investment or rollover of any investment.</w:t>
      </w:r>
    </w:p>
    <w:p w:rsidR="005E5B48" w:rsidRPr="003948BA" w:rsidRDefault="005E5B48">
      <w:pPr>
        <w:pStyle w:val="BodyText"/>
        <w:spacing w:before="4"/>
      </w:pPr>
    </w:p>
    <w:p w:rsidR="005E5B48" w:rsidRPr="003948BA" w:rsidRDefault="00814043" w:rsidP="00A002A6">
      <w:pPr>
        <w:pStyle w:val="ListParagraph"/>
        <w:numPr>
          <w:ilvl w:val="2"/>
          <w:numId w:val="37"/>
        </w:numPr>
        <w:tabs>
          <w:tab w:val="left" w:pos="2543"/>
        </w:tabs>
        <w:spacing w:before="1"/>
        <w:ind w:right="1015" w:hanging="362"/>
        <w:jc w:val="both"/>
        <w:rPr>
          <w:sz w:val="20"/>
        </w:rPr>
      </w:pPr>
      <w:r w:rsidRPr="003948BA">
        <w:rPr>
          <w:sz w:val="20"/>
        </w:rPr>
        <w:t>The Fund shall invest in other CIS only as specified in Clause 2.2.6 above, and/or other Authorized Investments (unless otherwise allowed under the Rules, Regulations, and/or any directives issued or any exemption granted by the Commission to the Fund and/or to the Management</w:t>
      </w:r>
      <w:r w:rsidRPr="003948BA">
        <w:rPr>
          <w:spacing w:val="-18"/>
          <w:sz w:val="20"/>
        </w:rPr>
        <w:t xml:space="preserve"> </w:t>
      </w:r>
      <w:r w:rsidRPr="003948BA">
        <w:rPr>
          <w:sz w:val="20"/>
        </w:rPr>
        <w:t>Company).</w:t>
      </w:r>
    </w:p>
    <w:p w:rsidR="005E5B48" w:rsidRPr="003948BA" w:rsidRDefault="005E5B48">
      <w:pPr>
        <w:pStyle w:val="BodyText"/>
        <w:spacing w:before="9"/>
        <w:rPr>
          <w:sz w:val="19"/>
        </w:rPr>
      </w:pPr>
    </w:p>
    <w:p w:rsidR="005E5B48" w:rsidRPr="003948BA" w:rsidRDefault="00814043" w:rsidP="00A002A6">
      <w:pPr>
        <w:pStyle w:val="ListParagraph"/>
        <w:numPr>
          <w:ilvl w:val="2"/>
          <w:numId w:val="37"/>
        </w:numPr>
        <w:tabs>
          <w:tab w:val="left" w:pos="2543"/>
        </w:tabs>
        <w:ind w:right="1014" w:hanging="362"/>
        <w:jc w:val="both"/>
        <w:rPr>
          <w:sz w:val="20"/>
        </w:rPr>
      </w:pPr>
      <w:r w:rsidRPr="003948BA">
        <w:rPr>
          <w:sz w:val="20"/>
        </w:rPr>
        <w:t>The Management Company in managing the Fund shall abide by all the provisions of the Trust Deed, the Offering Document, the Regulations and any other applicable</w:t>
      </w:r>
      <w:r w:rsidRPr="003948BA">
        <w:rPr>
          <w:spacing w:val="-14"/>
          <w:sz w:val="20"/>
        </w:rPr>
        <w:t xml:space="preserve"> </w:t>
      </w:r>
      <w:r w:rsidRPr="003948BA">
        <w:rPr>
          <w:sz w:val="20"/>
        </w:rPr>
        <w:t>laws.</w:t>
      </w:r>
    </w:p>
    <w:p w:rsidR="005E5B48" w:rsidRPr="003948BA" w:rsidRDefault="005E5B48">
      <w:pPr>
        <w:pStyle w:val="BodyText"/>
        <w:spacing w:before="6"/>
      </w:pPr>
    </w:p>
    <w:p w:rsidR="005E5B48" w:rsidRPr="003948BA" w:rsidRDefault="00814043" w:rsidP="00A002A6">
      <w:pPr>
        <w:pStyle w:val="ListParagraph"/>
        <w:numPr>
          <w:ilvl w:val="2"/>
          <w:numId w:val="37"/>
        </w:numPr>
        <w:tabs>
          <w:tab w:val="left" w:pos="2543"/>
        </w:tabs>
        <w:ind w:right="1016" w:hanging="362"/>
        <w:jc w:val="both"/>
        <w:rPr>
          <w:sz w:val="20"/>
        </w:rPr>
      </w:pPr>
      <w:r w:rsidRPr="003948BA">
        <w:rPr>
          <w:sz w:val="20"/>
        </w:rPr>
        <w:t>The Fund Property shall be subject to such Exposure and investment limits and parameters as are provided in the Regulations, Trust Deed and Offering Document (subject to any written exemptions that may be specifically given to the Fund and/or to the Management Company by the</w:t>
      </w:r>
      <w:r w:rsidRPr="003948BA">
        <w:rPr>
          <w:spacing w:val="-24"/>
          <w:sz w:val="20"/>
        </w:rPr>
        <w:t xml:space="preserve"> </w:t>
      </w:r>
      <w:r w:rsidRPr="003948BA">
        <w:rPr>
          <w:sz w:val="20"/>
        </w:rPr>
        <w:t>Commission).</w:t>
      </w:r>
    </w:p>
    <w:p w:rsidR="005E5B48" w:rsidRPr="003948BA" w:rsidRDefault="005E5B48">
      <w:pPr>
        <w:pStyle w:val="BodyText"/>
        <w:spacing w:before="1"/>
        <w:rPr>
          <w:sz w:val="32"/>
        </w:rPr>
      </w:pPr>
    </w:p>
    <w:p w:rsidR="005E5B48" w:rsidRPr="003948BA" w:rsidRDefault="00814043" w:rsidP="00A002A6">
      <w:pPr>
        <w:pStyle w:val="Heading5"/>
        <w:numPr>
          <w:ilvl w:val="1"/>
          <w:numId w:val="37"/>
        </w:numPr>
        <w:tabs>
          <w:tab w:val="left" w:pos="2360"/>
          <w:tab w:val="left" w:pos="2361"/>
        </w:tabs>
        <w:ind w:hanging="540"/>
        <w:jc w:val="left"/>
      </w:pPr>
      <w:bookmarkStart w:id="17" w:name="_bookmark16"/>
      <w:bookmarkEnd w:id="17"/>
      <w:r w:rsidRPr="003948BA">
        <w:t>Exemption to Investment</w:t>
      </w:r>
      <w:r w:rsidRPr="003948BA">
        <w:rPr>
          <w:spacing w:val="-8"/>
        </w:rPr>
        <w:t xml:space="preserve"> </w:t>
      </w:r>
      <w:r w:rsidRPr="003948BA">
        <w:t>Restrictions</w:t>
      </w:r>
    </w:p>
    <w:p w:rsidR="005E5B48" w:rsidRPr="003948BA" w:rsidRDefault="00814043">
      <w:pPr>
        <w:pStyle w:val="BodyText"/>
        <w:spacing w:before="66"/>
        <w:ind w:left="2360" w:right="1012"/>
        <w:jc w:val="both"/>
      </w:pPr>
      <w:r w:rsidRPr="003948BA">
        <w:t>In order to protect the right of the Unit Holders, the Management Company may take an Exposure in any unauthorized investment due to recovery of any default proceeding of any counter party of any Authorized Investment with the approval of the Commission.</w:t>
      </w:r>
    </w:p>
    <w:p w:rsidR="005E5B48" w:rsidRPr="003948BA" w:rsidRDefault="005E5B48">
      <w:pPr>
        <w:pStyle w:val="BodyText"/>
        <w:rPr>
          <w:sz w:val="22"/>
        </w:rPr>
      </w:pPr>
    </w:p>
    <w:p w:rsidR="005E5B48" w:rsidRPr="003948BA" w:rsidRDefault="00CB587F" w:rsidP="00A002A6">
      <w:pPr>
        <w:pStyle w:val="Heading5"/>
        <w:numPr>
          <w:ilvl w:val="1"/>
          <w:numId w:val="37"/>
        </w:numPr>
        <w:tabs>
          <w:tab w:val="left" w:pos="2360"/>
          <w:tab w:val="left" w:pos="2361"/>
        </w:tabs>
        <w:spacing w:before="2"/>
        <w:ind w:hanging="540"/>
        <w:jc w:val="left"/>
        <w:rPr>
          <w:sz w:val="18"/>
        </w:rPr>
      </w:pPr>
      <w:bookmarkStart w:id="18" w:name="_bookmark17"/>
      <w:bookmarkEnd w:id="18"/>
      <w:r w:rsidRPr="003948BA">
        <w:rPr>
          <w:color w:val="221F1F"/>
        </w:rPr>
        <w:t>Shari</w:t>
      </w:r>
      <w:r w:rsidR="00814043" w:rsidRPr="003948BA">
        <w:rPr>
          <w:color w:val="221F1F"/>
        </w:rPr>
        <w:t xml:space="preserve">ah </w:t>
      </w:r>
      <w:r w:rsidR="00936A08">
        <w:rPr>
          <w:color w:val="221F1F"/>
        </w:rPr>
        <w:t>C</w:t>
      </w:r>
      <w:r w:rsidR="00936A08" w:rsidRPr="003948BA">
        <w:rPr>
          <w:color w:val="221F1F"/>
        </w:rPr>
        <w:t xml:space="preserve">ompliant </w:t>
      </w:r>
      <w:r w:rsidR="00814043" w:rsidRPr="003948BA">
        <w:rPr>
          <w:color w:val="221F1F"/>
        </w:rPr>
        <w:t>Financing Arrangements</w:t>
      </w:r>
      <w:r w:rsidR="00814043" w:rsidRPr="003948BA">
        <w:rPr>
          <w:color w:val="221F1F"/>
          <w:spacing w:val="-2"/>
        </w:rPr>
        <w:t xml:space="preserve"> </w:t>
      </w:r>
      <w:r w:rsidR="00814043" w:rsidRPr="003948BA">
        <w:rPr>
          <w:color w:val="221F1F"/>
        </w:rPr>
        <w:t>Restrictions</w:t>
      </w:r>
    </w:p>
    <w:p w:rsidR="00765E07" w:rsidRPr="003948BA" w:rsidRDefault="00814043" w:rsidP="00A002A6">
      <w:pPr>
        <w:pStyle w:val="ListParagraph"/>
        <w:numPr>
          <w:ilvl w:val="2"/>
          <w:numId w:val="37"/>
        </w:numPr>
        <w:tabs>
          <w:tab w:val="left" w:pos="2903"/>
        </w:tabs>
        <w:spacing w:before="93"/>
        <w:ind w:left="2902" w:right="1009" w:hanging="542"/>
        <w:jc w:val="both"/>
        <w:rPr>
          <w:sz w:val="20"/>
          <w:szCs w:val="20"/>
        </w:rPr>
      </w:pPr>
      <w:r w:rsidRPr="003948BA">
        <w:rPr>
          <w:sz w:val="20"/>
        </w:rPr>
        <w:t xml:space="preserve">Subject to any statutory requirements for the time being in force and to the terms and conditions herein contained, the Management Company may arrange shariah compliant </w:t>
      </w:r>
      <w:r w:rsidR="00E71A14" w:rsidRPr="003948BA">
        <w:rPr>
          <w:sz w:val="20"/>
        </w:rPr>
        <w:t xml:space="preserve">financing </w:t>
      </w:r>
      <w:r w:rsidRPr="003948BA">
        <w:rPr>
          <w:sz w:val="20"/>
        </w:rPr>
        <w:t>for account of the Scheme, with the ap</w:t>
      </w:r>
      <w:r w:rsidR="007453FE" w:rsidRPr="003948BA">
        <w:rPr>
          <w:sz w:val="20"/>
        </w:rPr>
        <w:t>proval of the Trustee and Shari</w:t>
      </w:r>
      <w:r w:rsidRPr="003948BA">
        <w:rPr>
          <w:sz w:val="20"/>
        </w:rPr>
        <w:t xml:space="preserve">ah Advisor, from Banks, Financial Institutions, or such other companies as specified by the Commission from time to time. The </w:t>
      </w:r>
      <w:r w:rsidR="00224431" w:rsidRPr="003948BA">
        <w:rPr>
          <w:sz w:val="20"/>
        </w:rPr>
        <w:t>financing</w:t>
      </w:r>
      <w:r w:rsidRPr="003948BA">
        <w:rPr>
          <w:sz w:val="20"/>
        </w:rPr>
        <w:t xml:space="preserve">, however, shall not be resorted to, except for meeting the redemption requests and shall be repayable within a period of ninety days and such </w:t>
      </w:r>
      <w:r w:rsidR="00224431" w:rsidRPr="003948BA">
        <w:rPr>
          <w:sz w:val="20"/>
        </w:rPr>
        <w:t>financing</w:t>
      </w:r>
      <w:r w:rsidRPr="003948BA">
        <w:rPr>
          <w:sz w:val="20"/>
        </w:rPr>
        <w:t xml:space="preserve"> shall not exceed fifteen (15) percent of the net Assets or such other limit as specified by the Commission of the scheme at the time of</w:t>
      </w:r>
      <w:r w:rsidRPr="003948BA">
        <w:rPr>
          <w:spacing w:val="-18"/>
          <w:sz w:val="20"/>
        </w:rPr>
        <w:t xml:space="preserve"> </w:t>
      </w:r>
      <w:r w:rsidR="00224431" w:rsidRPr="003948BA">
        <w:rPr>
          <w:sz w:val="20"/>
        </w:rPr>
        <w:t>financing</w:t>
      </w:r>
      <w:r w:rsidRPr="003948BA">
        <w:rPr>
          <w:sz w:val="20"/>
        </w:rPr>
        <w:t>.</w:t>
      </w:r>
    </w:p>
    <w:p w:rsidR="005E5B48" w:rsidRPr="003948BA" w:rsidRDefault="005E5B48">
      <w:pPr>
        <w:pStyle w:val="BodyText"/>
        <w:spacing w:before="2"/>
      </w:pPr>
    </w:p>
    <w:p w:rsidR="005E5B48" w:rsidRPr="003948BA" w:rsidRDefault="00814043">
      <w:pPr>
        <w:pStyle w:val="BodyText"/>
        <w:ind w:left="2902" w:right="1020"/>
        <w:jc w:val="both"/>
      </w:pPr>
      <w:r w:rsidRPr="003948BA">
        <w:t xml:space="preserve">If subsequent to such </w:t>
      </w:r>
      <w:r w:rsidR="00224431" w:rsidRPr="003948BA">
        <w:t>financing</w:t>
      </w:r>
      <w:r w:rsidRPr="003948BA">
        <w:t>, the Net Assets are reduced as a result of depreciation in the market value of the Trust Property or redemption of Units, the Management Company shall not be under any obligation to reduce such</w:t>
      </w:r>
      <w:r w:rsidRPr="003948BA">
        <w:rPr>
          <w:spacing w:val="-14"/>
        </w:rPr>
        <w:t xml:space="preserve"> </w:t>
      </w:r>
      <w:r w:rsidR="00224431" w:rsidRPr="003948BA">
        <w:t>financing</w:t>
      </w:r>
      <w:r w:rsidRPr="003948BA">
        <w:t>.</w:t>
      </w:r>
    </w:p>
    <w:p w:rsidR="005E5B48" w:rsidRPr="003948BA" w:rsidRDefault="005E5B48">
      <w:pPr>
        <w:pStyle w:val="BodyText"/>
      </w:pPr>
    </w:p>
    <w:p w:rsidR="005E5B48" w:rsidRPr="003948BA" w:rsidRDefault="00814043" w:rsidP="00A002A6">
      <w:pPr>
        <w:pStyle w:val="ListParagraph"/>
        <w:numPr>
          <w:ilvl w:val="2"/>
          <w:numId w:val="37"/>
        </w:numPr>
        <w:tabs>
          <w:tab w:val="left" w:pos="2903"/>
        </w:tabs>
        <w:spacing w:before="1"/>
        <w:ind w:left="2902" w:right="1004" w:hanging="542"/>
        <w:jc w:val="both"/>
        <w:rPr>
          <w:sz w:val="20"/>
        </w:rPr>
      </w:pPr>
      <w:r w:rsidRPr="003948BA">
        <w:rPr>
          <w:sz w:val="20"/>
        </w:rPr>
        <w:t xml:space="preserve">Neither the Trustee, nor the Management Company shall be required to issue any guarantee or provide security over their own assets for securing such financings from banks, financial institutions and non-banking finance companies. The Trustee or the Management Company shall not in any manner be liable in their personal capacities for repayment of such </w:t>
      </w:r>
      <w:r w:rsidRPr="003948BA">
        <w:rPr>
          <w:sz w:val="20"/>
        </w:rPr>
        <w:lastRenderedPageBreak/>
        <w:t>financings.</w:t>
      </w:r>
    </w:p>
    <w:p w:rsidR="005E5B48" w:rsidRPr="003948BA" w:rsidRDefault="005E5B48">
      <w:pPr>
        <w:pStyle w:val="BodyText"/>
      </w:pPr>
    </w:p>
    <w:p w:rsidR="005E5B48" w:rsidRPr="003948BA" w:rsidRDefault="00814043" w:rsidP="00A002A6">
      <w:pPr>
        <w:pStyle w:val="ListParagraph"/>
        <w:numPr>
          <w:ilvl w:val="2"/>
          <w:numId w:val="37"/>
        </w:numPr>
        <w:tabs>
          <w:tab w:val="left" w:pos="2903"/>
        </w:tabs>
        <w:ind w:left="2902" w:right="1014" w:hanging="542"/>
        <w:jc w:val="both"/>
        <w:rPr>
          <w:sz w:val="20"/>
        </w:rPr>
      </w:pPr>
      <w:r w:rsidRPr="003948BA">
        <w:rPr>
          <w:sz w:val="20"/>
        </w:rPr>
        <w:t xml:space="preserve">For the purposes of securing any such </w:t>
      </w:r>
      <w:r w:rsidR="00224431" w:rsidRPr="003948BA">
        <w:rPr>
          <w:sz w:val="20"/>
        </w:rPr>
        <w:t>financing</w:t>
      </w:r>
      <w:r w:rsidRPr="003948BA">
        <w:rPr>
          <w:sz w:val="20"/>
        </w:rPr>
        <w:t>, the Trustee may on the instruction of the Management Company mortgage, charge or pledge in any manner all or any part of the Trust Property provided that the aggregate amount secured by such mortgage, charge or pledge shall not exceed the limits provided under the Regulations and/or any law for the time being in force.</w:t>
      </w:r>
    </w:p>
    <w:p w:rsidR="005E5B48" w:rsidRPr="003948BA" w:rsidRDefault="005E5B48">
      <w:pPr>
        <w:pStyle w:val="BodyText"/>
        <w:spacing w:before="8"/>
      </w:pPr>
    </w:p>
    <w:p w:rsidR="005E5B48" w:rsidRPr="003948BA" w:rsidRDefault="00814043" w:rsidP="00A002A6">
      <w:pPr>
        <w:pStyle w:val="ListParagraph"/>
        <w:numPr>
          <w:ilvl w:val="2"/>
          <w:numId w:val="37"/>
        </w:numPr>
        <w:tabs>
          <w:tab w:val="left" w:pos="2903"/>
        </w:tabs>
        <w:ind w:left="2902" w:right="1003" w:hanging="542"/>
        <w:jc w:val="both"/>
        <w:rPr>
          <w:sz w:val="20"/>
        </w:rPr>
      </w:pPr>
      <w:r w:rsidRPr="003948BA">
        <w:rPr>
          <w:sz w:val="20"/>
        </w:rPr>
        <w:t xml:space="preserve">Neither the Trustee nor the Management Company shall </w:t>
      </w:r>
      <w:r w:rsidR="00CB587F" w:rsidRPr="003948BA">
        <w:rPr>
          <w:sz w:val="20"/>
        </w:rPr>
        <w:t>incur any</w:t>
      </w:r>
      <w:r w:rsidRPr="003948BA">
        <w:rPr>
          <w:sz w:val="20"/>
        </w:rPr>
        <w:t xml:space="preserve"> liability by reason of any loss to the Trust or any loss that a Unit Holder(s) may suffer by reason of any depletion in the Net Asset Value that may result from any financing arrangement made hereunder in good</w:t>
      </w:r>
      <w:r w:rsidRPr="003948BA">
        <w:rPr>
          <w:spacing w:val="-21"/>
          <w:sz w:val="20"/>
        </w:rPr>
        <w:t xml:space="preserve"> </w:t>
      </w:r>
      <w:r w:rsidRPr="003948BA">
        <w:rPr>
          <w:sz w:val="20"/>
        </w:rPr>
        <w:t>faith.</w:t>
      </w:r>
    </w:p>
    <w:p w:rsidR="005E5B48" w:rsidRPr="003948BA" w:rsidRDefault="005E5B48">
      <w:pPr>
        <w:pStyle w:val="BodyText"/>
      </w:pPr>
    </w:p>
    <w:p w:rsidR="005E5B48" w:rsidRPr="003948BA" w:rsidRDefault="00814043" w:rsidP="00A002A6">
      <w:pPr>
        <w:pStyle w:val="ListParagraph"/>
        <w:numPr>
          <w:ilvl w:val="2"/>
          <w:numId w:val="37"/>
        </w:numPr>
        <w:tabs>
          <w:tab w:val="left" w:pos="2903"/>
        </w:tabs>
        <w:ind w:left="2902" w:right="1011" w:hanging="542"/>
        <w:jc w:val="both"/>
        <w:rPr>
          <w:sz w:val="20"/>
        </w:rPr>
      </w:pPr>
      <w:r w:rsidRPr="003948BA">
        <w:rPr>
          <w:color w:val="221F1F"/>
          <w:sz w:val="20"/>
        </w:rPr>
        <w:t xml:space="preserve">All financing shall be done only through Islamic </w:t>
      </w:r>
      <w:proofErr w:type="gramStart"/>
      <w:r w:rsidRPr="003948BA">
        <w:rPr>
          <w:color w:val="221F1F"/>
          <w:sz w:val="20"/>
        </w:rPr>
        <w:t>Banks,</w:t>
      </w:r>
      <w:proofErr w:type="gramEnd"/>
      <w:r w:rsidRPr="003948BA">
        <w:rPr>
          <w:color w:val="221F1F"/>
          <w:sz w:val="20"/>
        </w:rPr>
        <w:t xml:space="preserve"> Islamic Banking windows of </w:t>
      </w:r>
      <w:r w:rsidR="00E037DC">
        <w:rPr>
          <w:color w:val="221F1F"/>
          <w:sz w:val="20"/>
        </w:rPr>
        <w:t>conventiona</w:t>
      </w:r>
      <w:r w:rsidR="00E037DC" w:rsidRPr="003948BA">
        <w:rPr>
          <w:color w:val="221F1F"/>
          <w:sz w:val="20"/>
        </w:rPr>
        <w:t xml:space="preserve">l </w:t>
      </w:r>
      <w:r w:rsidRPr="003948BA">
        <w:rPr>
          <w:color w:val="221F1F"/>
          <w:sz w:val="20"/>
        </w:rPr>
        <w:t>banks, Islamic Financial i</w:t>
      </w:r>
      <w:r w:rsidR="00CB587F" w:rsidRPr="003948BA">
        <w:rPr>
          <w:color w:val="221F1F"/>
          <w:sz w:val="20"/>
        </w:rPr>
        <w:t>nstitutions under Islamic Shari</w:t>
      </w:r>
      <w:r w:rsidRPr="003948BA">
        <w:rPr>
          <w:color w:val="221F1F"/>
          <w:sz w:val="20"/>
        </w:rPr>
        <w:t>ah based financial</w:t>
      </w:r>
      <w:r w:rsidRPr="003948BA">
        <w:rPr>
          <w:color w:val="221F1F"/>
          <w:spacing w:val="-7"/>
          <w:sz w:val="20"/>
        </w:rPr>
        <w:t xml:space="preserve"> </w:t>
      </w:r>
      <w:r w:rsidRPr="003948BA">
        <w:rPr>
          <w:color w:val="221F1F"/>
          <w:sz w:val="20"/>
        </w:rPr>
        <w:t>contracts.</w:t>
      </w:r>
    </w:p>
    <w:p w:rsidR="005E5B48" w:rsidRPr="003948BA" w:rsidRDefault="005E5B48">
      <w:pPr>
        <w:pStyle w:val="BodyText"/>
        <w:rPr>
          <w:sz w:val="22"/>
        </w:rPr>
      </w:pPr>
    </w:p>
    <w:p w:rsidR="005E5B48" w:rsidRPr="003948BA" w:rsidRDefault="005E5B48">
      <w:pPr>
        <w:pStyle w:val="BodyText"/>
        <w:spacing w:before="2"/>
        <w:rPr>
          <w:sz w:val="22"/>
        </w:rPr>
      </w:pPr>
    </w:p>
    <w:p w:rsidR="005E5B48" w:rsidRPr="003948BA" w:rsidRDefault="00814043" w:rsidP="00A002A6">
      <w:pPr>
        <w:pStyle w:val="Heading5"/>
        <w:numPr>
          <w:ilvl w:val="1"/>
          <w:numId w:val="37"/>
        </w:numPr>
        <w:tabs>
          <w:tab w:val="left" w:pos="2360"/>
          <w:tab w:val="left" w:pos="2361"/>
        </w:tabs>
        <w:ind w:hanging="540"/>
        <w:jc w:val="left"/>
      </w:pPr>
      <w:bookmarkStart w:id="19" w:name="_bookmark18"/>
      <w:bookmarkEnd w:id="19"/>
      <w:r w:rsidRPr="003948BA">
        <w:t>Restriction of Transactions with Connected</w:t>
      </w:r>
      <w:r w:rsidRPr="003948BA">
        <w:rPr>
          <w:spacing w:val="-12"/>
        </w:rPr>
        <w:t xml:space="preserve"> </w:t>
      </w:r>
      <w:r w:rsidRPr="003948BA">
        <w:t>Persons</w:t>
      </w:r>
    </w:p>
    <w:p w:rsidR="005E5B48" w:rsidRPr="003948BA" w:rsidRDefault="005E5B48">
      <w:pPr>
        <w:pStyle w:val="BodyText"/>
        <w:spacing w:before="9"/>
        <w:rPr>
          <w:b/>
          <w:sz w:val="27"/>
        </w:rPr>
      </w:pPr>
    </w:p>
    <w:p w:rsidR="005E5B48" w:rsidRPr="003948BA" w:rsidRDefault="00814043" w:rsidP="00A002A6">
      <w:pPr>
        <w:pStyle w:val="ListParagraph"/>
        <w:numPr>
          <w:ilvl w:val="2"/>
          <w:numId w:val="37"/>
        </w:numPr>
        <w:tabs>
          <w:tab w:val="left" w:pos="2903"/>
        </w:tabs>
        <w:ind w:left="2902" w:right="1006" w:hanging="542"/>
        <w:jc w:val="both"/>
        <w:rPr>
          <w:sz w:val="20"/>
        </w:rPr>
      </w:pPr>
      <w:r w:rsidRPr="003948BA">
        <w:rPr>
          <w:sz w:val="20"/>
        </w:rPr>
        <w:t>The Management Company in relation to the Scheme shall not invest in any security of a company if any director or officer of the Management Company owns more than five per cent of the total amount of securities issued, or, the directors and officers of the Management Company own more than ten per cent of those securities collectively subject to exemption provided in the Regulations.</w:t>
      </w:r>
    </w:p>
    <w:p w:rsidR="005E5B48" w:rsidRPr="003948BA" w:rsidRDefault="005E5B48">
      <w:pPr>
        <w:pStyle w:val="BodyText"/>
        <w:spacing w:before="10"/>
        <w:rPr>
          <w:sz w:val="19"/>
        </w:rPr>
      </w:pPr>
    </w:p>
    <w:p w:rsidR="005E5B48" w:rsidRPr="003948BA" w:rsidRDefault="00814043" w:rsidP="00A002A6">
      <w:pPr>
        <w:pStyle w:val="ListParagraph"/>
        <w:numPr>
          <w:ilvl w:val="2"/>
          <w:numId w:val="37"/>
        </w:numPr>
        <w:tabs>
          <w:tab w:val="left" w:pos="2903"/>
        </w:tabs>
        <w:ind w:left="2902" w:right="1019" w:hanging="542"/>
        <w:jc w:val="both"/>
        <w:rPr>
          <w:sz w:val="20"/>
        </w:rPr>
      </w:pPr>
      <w:r w:rsidRPr="003948BA">
        <w:rPr>
          <w:sz w:val="20"/>
        </w:rPr>
        <w:t>The Management Company on behalf of the Scheme shall not without the approval of its Board of Directors in writing and consent of the Trustee, purchase or sell any security from or to any Connected Person or employee of the Management</w:t>
      </w:r>
      <w:r w:rsidRPr="003948BA">
        <w:rPr>
          <w:spacing w:val="-12"/>
          <w:sz w:val="20"/>
        </w:rPr>
        <w:t xml:space="preserve"> </w:t>
      </w:r>
      <w:r w:rsidRPr="003948BA">
        <w:rPr>
          <w:sz w:val="20"/>
        </w:rPr>
        <w:t>Company.</w:t>
      </w:r>
    </w:p>
    <w:p w:rsidR="005E5B48" w:rsidRPr="003948BA" w:rsidRDefault="005E5B48">
      <w:pPr>
        <w:pStyle w:val="BodyText"/>
        <w:spacing w:before="2"/>
      </w:pPr>
    </w:p>
    <w:p w:rsidR="005E5B48" w:rsidRPr="003948BA" w:rsidRDefault="00814043" w:rsidP="00A002A6">
      <w:pPr>
        <w:pStyle w:val="ListParagraph"/>
        <w:numPr>
          <w:ilvl w:val="2"/>
          <w:numId w:val="37"/>
        </w:numPr>
        <w:tabs>
          <w:tab w:val="left" w:pos="2902"/>
          <w:tab w:val="left" w:pos="2903"/>
        </w:tabs>
        <w:ind w:left="2902" w:hanging="542"/>
        <w:rPr>
          <w:sz w:val="20"/>
        </w:rPr>
      </w:pPr>
      <w:r w:rsidRPr="003948BA">
        <w:rPr>
          <w:sz w:val="20"/>
        </w:rPr>
        <w:t>Provided that above shall not be applicable on sale or redemptions of</w:t>
      </w:r>
      <w:r w:rsidRPr="003948BA">
        <w:rPr>
          <w:spacing w:val="-35"/>
          <w:sz w:val="20"/>
        </w:rPr>
        <w:t xml:space="preserve"> </w:t>
      </w:r>
      <w:r w:rsidRPr="003948BA">
        <w:rPr>
          <w:sz w:val="20"/>
        </w:rPr>
        <w:t>Units.</w:t>
      </w:r>
    </w:p>
    <w:p w:rsidR="005E5B48" w:rsidRPr="003948BA" w:rsidRDefault="005E5B48">
      <w:pPr>
        <w:pStyle w:val="BodyText"/>
        <w:spacing w:before="10"/>
        <w:rPr>
          <w:sz w:val="19"/>
        </w:rPr>
      </w:pPr>
    </w:p>
    <w:p w:rsidR="005E5B48" w:rsidRPr="003948BA" w:rsidRDefault="00814043" w:rsidP="00A002A6">
      <w:pPr>
        <w:pStyle w:val="ListParagraph"/>
        <w:numPr>
          <w:ilvl w:val="2"/>
          <w:numId w:val="37"/>
        </w:numPr>
        <w:tabs>
          <w:tab w:val="left" w:pos="2903"/>
        </w:tabs>
        <w:spacing w:before="1"/>
        <w:ind w:left="2902" w:right="1015" w:hanging="542"/>
        <w:jc w:val="both"/>
        <w:rPr>
          <w:sz w:val="20"/>
        </w:rPr>
      </w:pPr>
      <w:r w:rsidRPr="003948BA">
        <w:rPr>
          <w:sz w:val="20"/>
        </w:rPr>
        <w:t>For the purpose of sub-paragraphs (a) and (b) above the term director, officer and employee shall include spouse, lineal ascendants and descendants, brothers and</w:t>
      </w:r>
      <w:r w:rsidRPr="003948BA">
        <w:rPr>
          <w:spacing w:val="-3"/>
          <w:sz w:val="20"/>
        </w:rPr>
        <w:t xml:space="preserve"> </w:t>
      </w:r>
      <w:r w:rsidRPr="003948BA">
        <w:rPr>
          <w:sz w:val="20"/>
        </w:rPr>
        <w:t>sisters.</w:t>
      </w:r>
    </w:p>
    <w:p w:rsidR="005E5B48" w:rsidRPr="003948BA" w:rsidRDefault="005E5B48">
      <w:pPr>
        <w:pStyle w:val="BodyText"/>
        <w:spacing w:before="10"/>
        <w:rPr>
          <w:sz w:val="19"/>
        </w:rPr>
      </w:pPr>
    </w:p>
    <w:p w:rsidR="00765E07" w:rsidRPr="003948BA" w:rsidRDefault="00814043" w:rsidP="00A002A6">
      <w:pPr>
        <w:pStyle w:val="ListParagraph"/>
        <w:numPr>
          <w:ilvl w:val="2"/>
          <w:numId w:val="37"/>
        </w:numPr>
        <w:tabs>
          <w:tab w:val="left" w:pos="2903"/>
        </w:tabs>
        <w:spacing w:line="223" w:lineRule="exact"/>
        <w:ind w:left="2902" w:right="1019" w:hanging="542"/>
        <w:jc w:val="both"/>
        <w:rPr>
          <w:sz w:val="32"/>
          <w:szCs w:val="20"/>
        </w:rPr>
      </w:pPr>
      <w:r w:rsidRPr="003948BA">
        <w:rPr>
          <w:sz w:val="20"/>
        </w:rPr>
        <w:t>All transactions carried out by or on behalf of the Scheme with connected person(s)</w:t>
      </w:r>
      <w:r w:rsidRPr="003948BA">
        <w:rPr>
          <w:spacing w:val="35"/>
          <w:sz w:val="20"/>
        </w:rPr>
        <w:t xml:space="preserve"> </w:t>
      </w:r>
      <w:r w:rsidRPr="003948BA">
        <w:rPr>
          <w:sz w:val="20"/>
        </w:rPr>
        <w:t>shall</w:t>
      </w:r>
      <w:r w:rsidRPr="003948BA">
        <w:rPr>
          <w:spacing w:val="35"/>
          <w:sz w:val="20"/>
        </w:rPr>
        <w:t xml:space="preserve"> </w:t>
      </w:r>
      <w:r w:rsidRPr="003948BA">
        <w:rPr>
          <w:sz w:val="20"/>
        </w:rPr>
        <w:t>be</w:t>
      </w:r>
      <w:r w:rsidRPr="003948BA">
        <w:rPr>
          <w:spacing w:val="33"/>
          <w:sz w:val="20"/>
        </w:rPr>
        <w:t xml:space="preserve"> </w:t>
      </w:r>
      <w:r w:rsidRPr="003948BA">
        <w:rPr>
          <w:sz w:val="20"/>
        </w:rPr>
        <w:t>made</w:t>
      </w:r>
      <w:r w:rsidRPr="003948BA">
        <w:rPr>
          <w:spacing w:val="36"/>
          <w:sz w:val="20"/>
        </w:rPr>
        <w:t xml:space="preserve"> </w:t>
      </w:r>
      <w:r w:rsidRPr="003948BA">
        <w:rPr>
          <w:sz w:val="20"/>
        </w:rPr>
        <w:t>as</w:t>
      </w:r>
      <w:r w:rsidRPr="003948BA">
        <w:rPr>
          <w:spacing w:val="35"/>
          <w:sz w:val="20"/>
        </w:rPr>
        <w:t xml:space="preserve"> </w:t>
      </w:r>
      <w:r w:rsidRPr="003948BA">
        <w:rPr>
          <w:sz w:val="20"/>
        </w:rPr>
        <w:t>provided</w:t>
      </w:r>
      <w:r w:rsidRPr="003948BA">
        <w:rPr>
          <w:spacing w:val="33"/>
          <w:sz w:val="20"/>
        </w:rPr>
        <w:t xml:space="preserve"> </w:t>
      </w:r>
      <w:r w:rsidRPr="003948BA">
        <w:rPr>
          <w:sz w:val="20"/>
        </w:rPr>
        <w:t>in</w:t>
      </w:r>
      <w:r w:rsidRPr="003948BA">
        <w:rPr>
          <w:spacing w:val="33"/>
          <w:sz w:val="20"/>
        </w:rPr>
        <w:t xml:space="preserve"> </w:t>
      </w:r>
      <w:r w:rsidRPr="003948BA">
        <w:rPr>
          <w:sz w:val="20"/>
        </w:rPr>
        <w:t>the</w:t>
      </w:r>
      <w:r w:rsidRPr="003948BA">
        <w:rPr>
          <w:spacing w:val="35"/>
          <w:sz w:val="20"/>
        </w:rPr>
        <w:t xml:space="preserve"> </w:t>
      </w:r>
      <w:r w:rsidRPr="003948BA">
        <w:rPr>
          <w:sz w:val="20"/>
        </w:rPr>
        <w:t>Constitutive</w:t>
      </w:r>
      <w:r w:rsidRPr="003948BA">
        <w:rPr>
          <w:spacing w:val="33"/>
          <w:sz w:val="20"/>
        </w:rPr>
        <w:t xml:space="preserve"> </w:t>
      </w:r>
      <w:r w:rsidRPr="003948BA">
        <w:rPr>
          <w:sz w:val="20"/>
        </w:rPr>
        <w:t>Documents,</w:t>
      </w:r>
      <w:r w:rsidRPr="003948BA">
        <w:rPr>
          <w:spacing w:val="35"/>
          <w:sz w:val="20"/>
        </w:rPr>
        <w:t xml:space="preserve"> </w:t>
      </w:r>
      <w:r w:rsidRPr="003948BA">
        <w:rPr>
          <w:sz w:val="20"/>
        </w:rPr>
        <w:t>and</w:t>
      </w:r>
      <w:r w:rsidR="001A445F" w:rsidRPr="003948BA">
        <w:rPr>
          <w:sz w:val="20"/>
        </w:rPr>
        <w:t xml:space="preserve"> </w:t>
      </w:r>
      <w:r w:rsidRPr="003948BA">
        <w:t xml:space="preserve">shall be disclosed in the </w:t>
      </w:r>
      <w:r w:rsidR="00CB587F" w:rsidRPr="003948BA">
        <w:t>Scheme’s</w:t>
      </w:r>
      <w:r w:rsidRPr="003948BA">
        <w:t xml:space="preserve"> annual reports.</w:t>
      </w:r>
    </w:p>
    <w:p w:rsidR="005E5B48" w:rsidRPr="003948BA" w:rsidRDefault="005E5B48">
      <w:pPr>
        <w:pStyle w:val="BodyText"/>
        <w:spacing w:before="2"/>
        <w:rPr>
          <w:sz w:val="32"/>
        </w:rPr>
      </w:pPr>
    </w:p>
    <w:p w:rsidR="005E5B48" w:rsidRPr="003948BA" w:rsidRDefault="00814043" w:rsidP="00A002A6">
      <w:pPr>
        <w:pStyle w:val="Heading5"/>
        <w:numPr>
          <w:ilvl w:val="1"/>
          <w:numId w:val="37"/>
        </w:numPr>
        <w:tabs>
          <w:tab w:val="left" w:pos="2361"/>
        </w:tabs>
        <w:ind w:hanging="540"/>
        <w:jc w:val="left"/>
      </w:pPr>
      <w:bookmarkStart w:id="20" w:name="_bookmark19"/>
      <w:bookmarkEnd w:id="20"/>
      <w:r w:rsidRPr="003948BA">
        <w:t>Risk</w:t>
      </w:r>
      <w:r w:rsidRPr="003948BA">
        <w:rPr>
          <w:spacing w:val="-7"/>
        </w:rPr>
        <w:t xml:space="preserve"> </w:t>
      </w:r>
      <w:r w:rsidRPr="003948BA">
        <w:t>Disclosure</w:t>
      </w:r>
    </w:p>
    <w:p w:rsidR="005E5B48" w:rsidRPr="003948BA" w:rsidRDefault="005E5B48">
      <w:pPr>
        <w:pStyle w:val="BodyText"/>
        <w:rPr>
          <w:b/>
          <w:sz w:val="22"/>
        </w:rPr>
      </w:pPr>
    </w:p>
    <w:p w:rsidR="005E5B48" w:rsidRPr="003948BA" w:rsidRDefault="00814043">
      <w:pPr>
        <w:pStyle w:val="BodyText"/>
        <w:ind w:left="2360" w:right="1013"/>
        <w:jc w:val="both"/>
      </w:pPr>
      <w:r w:rsidRPr="003948BA">
        <w:t xml:space="preserve">The Management Company shall ensure that effective risk control measures </w:t>
      </w:r>
      <w:r w:rsidR="00CB587F" w:rsidRPr="003948BA">
        <w:t>are in</w:t>
      </w:r>
      <w:r w:rsidRPr="003948BA">
        <w:t xml:space="preserve"> place for the protection of the Unit </w:t>
      </w:r>
      <w:r w:rsidR="00CB587F" w:rsidRPr="003948BA">
        <w:t>Holder’s</w:t>
      </w:r>
      <w:r w:rsidRPr="003948BA">
        <w:rPr>
          <w:spacing w:val="-13"/>
        </w:rPr>
        <w:t xml:space="preserve"> </w:t>
      </w:r>
      <w:r w:rsidRPr="003948BA">
        <w:t>interests.</w:t>
      </w:r>
    </w:p>
    <w:p w:rsidR="005E5B48" w:rsidRPr="003948BA" w:rsidRDefault="005E5B48">
      <w:pPr>
        <w:pStyle w:val="BodyText"/>
        <w:rPr>
          <w:sz w:val="31"/>
        </w:rPr>
      </w:pPr>
    </w:p>
    <w:p w:rsidR="005E5B48" w:rsidRPr="003948BA" w:rsidRDefault="00814043">
      <w:pPr>
        <w:pStyle w:val="BodyText"/>
        <w:ind w:left="2360" w:right="1014"/>
        <w:jc w:val="both"/>
      </w:pPr>
      <w:r w:rsidRPr="003948BA">
        <w:t>The objective of the risk control process is to endeavor to monitor and manage the various types of risks, including market risks, credit risks and operational risks, with a view to achieving the investment objective of the allocation</w:t>
      </w:r>
      <w:r w:rsidRPr="003948BA">
        <w:rPr>
          <w:spacing w:val="-4"/>
        </w:rPr>
        <w:t xml:space="preserve"> </w:t>
      </w:r>
      <w:r w:rsidRPr="003948BA">
        <w:t>plan.</w:t>
      </w:r>
    </w:p>
    <w:p w:rsidR="004712B1" w:rsidRPr="003948BA" w:rsidRDefault="004712B1" w:rsidP="004712B1">
      <w:pPr>
        <w:pStyle w:val="Heading5"/>
        <w:tabs>
          <w:tab w:val="left" w:pos="2361"/>
        </w:tabs>
        <w:ind w:left="2360" w:firstLine="0"/>
      </w:pPr>
    </w:p>
    <w:p w:rsidR="004712B1" w:rsidRDefault="004712B1" w:rsidP="004712B1">
      <w:pPr>
        <w:pStyle w:val="Heading5"/>
        <w:tabs>
          <w:tab w:val="left" w:pos="2361"/>
        </w:tabs>
        <w:ind w:left="1820" w:firstLine="0"/>
      </w:pPr>
      <w:r w:rsidRPr="00F96FC9">
        <w:t>2.10.1</w:t>
      </w:r>
      <w:r w:rsidRPr="00F96FC9">
        <w:tab/>
        <w:t>Risk Control in the Investment Process</w:t>
      </w:r>
    </w:p>
    <w:p w:rsidR="00936A08" w:rsidRPr="003948BA" w:rsidRDefault="00936A08" w:rsidP="004712B1">
      <w:pPr>
        <w:pStyle w:val="Heading5"/>
        <w:tabs>
          <w:tab w:val="left" w:pos="2361"/>
        </w:tabs>
        <w:ind w:left="1820" w:firstLine="0"/>
      </w:pPr>
    </w:p>
    <w:p w:rsidR="00752E0F" w:rsidRPr="00752E0F" w:rsidRDefault="00752E0F" w:rsidP="00752E0F">
      <w:pPr>
        <w:widowControl/>
        <w:tabs>
          <w:tab w:val="left" w:pos="2070"/>
        </w:tabs>
        <w:autoSpaceDE/>
        <w:autoSpaceDN/>
        <w:ind w:left="2430"/>
        <w:jc w:val="both"/>
        <w:rPr>
          <w:sz w:val="20"/>
          <w:szCs w:val="20"/>
        </w:rPr>
      </w:pPr>
      <w:r w:rsidRPr="00752E0F">
        <w:rPr>
          <w:sz w:val="20"/>
          <w:szCs w:val="20"/>
        </w:rPr>
        <w:t>The Management Company shall ensure that effective risk control measures are in place for the protection of the Unit Holder</w:t>
      </w:r>
      <w:r>
        <w:rPr>
          <w:sz w:val="20"/>
          <w:szCs w:val="20"/>
        </w:rPr>
        <w:t>’</w:t>
      </w:r>
      <w:r w:rsidRPr="00752E0F">
        <w:rPr>
          <w:sz w:val="20"/>
          <w:szCs w:val="20"/>
        </w:rPr>
        <w:t>s interests.</w:t>
      </w:r>
    </w:p>
    <w:p w:rsidR="00752E0F" w:rsidRPr="00752E0F" w:rsidRDefault="00752E0F" w:rsidP="00752E0F">
      <w:pPr>
        <w:widowControl/>
        <w:tabs>
          <w:tab w:val="left" w:pos="2070"/>
        </w:tabs>
        <w:autoSpaceDE/>
        <w:autoSpaceDN/>
        <w:ind w:left="2430"/>
        <w:jc w:val="both"/>
        <w:rPr>
          <w:sz w:val="20"/>
          <w:szCs w:val="20"/>
        </w:rPr>
      </w:pPr>
    </w:p>
    <w:p w:rsidR="00752E0F" w:rsidRPr="00752E0F" w:rsidRDefault="00752E0F" w:rsidP="00752E0F">
      <w:pPr>
        <w:widowControl/>
        <w:tabs>
          <w:tab w:val="left" w:pos="2070"/>
        </w:tabs>
        <w:autoSpaceDE/>
        <w:autoSpaceDN/>
        <w:ind w:left="2430"/>
        <w:jc w:val="both"/>
        <w:rPr>
          <w:sz w:val="20"/>
          <w:szCs w:val="20"/>
        </w:rPr>
      </w:pPr>
      <w:r w:rsidRPr="00752E0F">
        <w:rPr>
          <w:sz w:val="20"/>
          <w:szCs w:val="20"/>
        </w:rPr>
        <w:t>The objective of the risk control process is to endeavor to monitor and manage the various types of risks, including market risks, credit risks and operational risks, with a view to achieving the investment objective of the allocation plan.</w:t>
      </w:r>
    </w:p>
    <w:p w:rsidR="00752E0F" w:rsidRPr="00752E0F" w:rsidRDefault="00752E0F" w:rsidP="00752E0F">
      <w:pPr>
        <w:widowControl/>
        <w:tabs>
          <w:tab w:val="left" w:pos="2070"/>
        </w:tabs>
        <w:autoSpaceDE/>
        <w:autoSpaceDN/>
        <w:ind w:left="2430"/>
        <w:jc w:val="both"/>
        <w:rPr>
          <w:sz w:val="20"/>
          <w:szCs w:val="20"/>
        </w:rPr>
      </w:pPr>
    </w:p>
    <w:p w:rsidR="00752E0F" w:rsidRPr="00752E0F" w:rsidRDefault="00752E0F" w:rsidP="00752E0F">
      <w:pPr>
        <w:widowControl/>
        <w:tabs>
          <w:tab w:val="left" w:pos="2070"/>
        </w:tabs>
        <w:autoSpaceDE/>
        <w:autoSpaceDN/>
        <w:ind w:left="2430"/>
        <w:jc w:val="both"/>
        <w:rPr>
          <w:sz w:val="20"/>
          <w:szCs w:val="20"/>
        </w:rPr>
      </w:pPr>
      <w:r w:rsidRPr="00752E0F">
        <w:rPr>
          <w:sz w:val="20"/>
          <w:szCs w:val="20"/>
        </w:rPr>
        <w:lastRenderedPageBreak/>
        <w:t>The Fund is subject to the following risks:</w:t>
      </w:r>
    </w:p>
    <w:p w:rsidR="004712B1" w:rsidRPr="00752E0F" w:rsidRDefault="00752E0F" w:rsidP="00173787">
      <w:pPr>
        <w:widowControl/>
        <w:tabs>
          <w:tab w:val="left" w:pos="2070"/>
        </w:tabs>
        <w:autoSpaceDE/>
        <w:autoSpaceDN/>
        <w:ind w:left="2430"/>
        <w:jc w:val="both"/>
        <w:rPr>
          <w:sz w:val="20"/>
          <w:szCs w:val="20"/>
        </w:rPr>
      </w:pPr>
      <w:r w:rsidRPr="00752E0F">
        <w:rPr>
          <w:sz w:val="20"/>
          <w:szCs w:val="20"/>
        </w:rPr>
        <w:t>Our target return / dividend range cannot be guaranteed and it should be clearly understood that the portfolio of the Allocation Plans is subject to market price fluctuations and other risks inherent in all such investments. The risks emanate from various factors that include, but are not limited to:</w:t>
      </w:r>
    </w:p>
    <w:p w:rsidR="00752E0F" w:rsidRPr="00752E0F" w:rsidRDefault="00752E0F" w:rsidP="00752E0F">
      <w:pPr>
        <w:pStyle w:val="ListParagraph"/>
        <w:widowControl/>
        <w:tabs>
          <w:tab w:val="left" w:pos="2070"/>
        </w:tabs>
        <w:autoSpaceDE/>
        <w:autoSpaceDN/>
        <w:ind w:left="2790" w:firstLine="0"/>
        <w:jc w:val="both"/>
        <w:rPr>
          <w:sz w:val="20"/>
          <w:szCs w:val="20"/>
        </w:rPr>
      </w:pPr>
    </w:p>
    <w:p w:rsidR="005E5B48" w:rsidRPr="003948BA" w:rsidRDefault="00814043" w:rsidP="001A445F">
      <w:pPr>
        <w:pStyle w:val="BodyText"/>
        <w:ind w:left="2360" w:right="20"/>
        <w:jc w:val="both"/>
      </w:pPr>
      <w:r w:rsidRPr="003948BA">
        <w:rPr>
          <w:b/>
        </w:rPr>
        <w:t xml:space="preserve">Equity Risk </w:t>
      </w:r>
      <w:r w:rsidRPr="003948BA">
        <w:t xml:space="preserve">- Companies issue equities, or stocks, to help finance their operations and future growth. The </w:t>
      </w:r>
      <w:r w:rsidR="00CB587F" w:rsidRPr="003948BA">
        <w:t>Company’s</w:t>
      </w:r>
      <w:r w:rsidRPr="003948BA">
        <w:t xml:space="preserve"> performance outlook, market activity and the larger economic picture influence the price of a stock. Usually when the economy is expanding, the outlook for many companies is good and the stock prices may rise and vice versa.</w:t>
      </w:r>
    </w:p>
    <w:p w:rsidR="005E5B48" w:rsidRPr="003948BA" w:rsidRDefault="004712B1">
      <w:pPr>
        <w:pStyle w:val="BodyText"/>
        <w:spacing w:before="1"/>
        <w:rPr>
          <w:sz w:val="31"/>
        </w:rPr>
      </w:pPr>
      <w:r w:rsidRPr="003948BA">
        <w:rPr>
          <w:sz w:val="31"/>
        </w:rPr>
        <w:tab/>
      </w:r>
      <w:r w:rsidRPr="003948BA">
        <w:rPr>
          <w:sz w:val="31"/>
        </w:rPr>
        <w:tab/>
      </w:r>
      <w:r w:rsidRPr="003948BA">
        <w:rPr>
          <w:sz w:val="31"/>
        </w:rPr>
        <w:tab/>
      </w:r>
    </w:p>
    <w:p w:rsidR="004712B1" w:rsidRPr="003948BA" w:rsidRDefault="004712B1" w:rsidP="004712B1">
      <w:pPr>
        <w:widowControl/>
        <w:tabs>
          <w:tab w:val="left" w:pos="0"/>
        </w:tabs>
        <w:autoSpaceDE/>
        <w:autoSpaceDN/>
        <w:ind w:left="2360"/>
        <w:jc w:val="both"/>
        <w:rPr>
          <w:sz w:val="20"/>
          <w:szCs w:val="20"/>
        </w:rPr>
      </w:pPr>
      <w:r w:rsidRPr="003948BA">
        <w:rPr>
          <w:b/>
          <w:sz w:val="20"/>
          <w:szCs w:val="20"/>
        </w:rPr>
        <w:t>Gap Risk</w:t>
      </w:r>
      <w:r w:rsidR="00752E0F">
        <w:rPr>
          <w:b/>
          <w:sz w:val="20"/>
          <w:szCs w:val="20"/>
        </w:rPr>
        <w:t xml:space="preserve"> (for CPPI Based Plan)</w:t>
      </w:r>
      <w:r w:rsidRPr="003948BA">
        <w:rPr>
          <w:sz w:val="20"/>
          <w:szCs w:val="20"/>
        </w:rPr>
        <w:t xml:space="preserve"> – This risk pertains to the Gap event where the Portfolio Value falls below the Present Value (bond floor) of the </w:t>
      </w:r>
      <w:r w:rsidR="008E7961" w:rsidRPr="003948BA">
        <w:rPr>
          <w:sz w:val="20"/>
          <w:szCs w:val="20"/>
        </w:rPr>
        <w:t>principal</w:t>
      </w:r>
      <w:r w:rsidRPr="003948BA">
        <w:rPr>
          <w:sz w:val="20"/>
          <w:szCs w:val="20"/>
        </w:rPr>
        <w:t xml:space="preserve"> preservation amount required at maturity.</w:t>
      </w:r>
    </w:p>
    <w:p w:rsidR="004712B1" w:rsidRPr="003948BA" w:rsidRDefault="004712B1" w:rsidP="004712B1">
      <w:pPr>
        <w:widowControl/>
        <w:tabs>
          <w:tab w:val="left" w:pos="0"/>
        </w:tabs>
        <w:autoSpaceDE/>
        <w:autoSpaceDN/>
        <w:ind w:left="2360"/>
        <w:jc w:val="both"/>
        <w:rPr>
          <w:sz w:val="20"/>
          <w:szCs w:val="20"/>
        </w:rPr>
      </w:pPr>
    </w:p>
    <w:p w:rsidR="004712B1" w:rsidRPr="003948BA" w:rsidRDefault="004712B1" w:rsidP="004712B1">
      <w:pPr>
        <w:widowControl/>
        <w:adjustRightInd w:val="0"/>
        <w:ind w:left="2360"/>
        <w:jc w:val="both"/>
        <w:rPr>
          <w:sz w:val="20"/>
          <w:szCs w:val="20"/>
        </w:rPr>
      </w:pPr>
      <w:r w:rsidRPr="003948BA">
        <w:rPr>
          <w:sz w:val="20"/>
          <w:szCs w:val="20"/>
        </w:rPr>
        <w:t>The performance of the Plan may be affected by changes in risk associated with trading volumes, liquidity and settlement systems in equity and debt/money markets.</w:t>
      </w:r>
    </w:p>
    <w:p w:rsidR="004712B1" w:rsidRPr="003948BA" w:rsidRDefault="004712B1" w:rsidP="004712B1">
      <w:pPr>
        <w:ind w:left="1280"/>
        <w:contextualSpacing/>
        <w:jc w:val="both"/>
        <w:rPr>
          <w:sz w:val="20"/>
          <w:szCs w:val="20"/>
        </w:rPr>
      </w:pPr>
    </w:p>
    <w:p w:rsidR="004712B1" w:rsidRPr="003948BA" w:rsidRDefault="004712B1" w:rsidP="004712B1">
      <w:pPr>
        <w:widowControl/>
        <w:adjustRightInd w:val="0"/>
        <w:ind w:left="2360"/>
        <w:jc w:val="both"/>
        <w:rPr>
          <w:sz w:val="20"/>
          <w:szCs w:val="20"/>
        </w:rPr>
      </w:pPr>
      <w:r w:rsidRPr="003948BA">
        <w:rPr>
          <w:sz w:val="20"/>
          <w:szCs w:val="20"/>
        </w:rPr>
        <w:t>Unit-holders are not being offered any guaranteed returns</w:t>
      </w:r>
    </w:p>
    <w:p w:rsidR="004712B1" w:rsidRPr="003948BA" w:rsidRDefault="004712B1" w:rsidP="004712B1">
      <w:pPr>
        <w:ind w:left="1280"/>
        <w:contextualSpacing/>
        <w:jc w:val="both"/>
        <w:rPr>
          <w:sz w:val="20"/>
          <w:szCs w:val="20"/>
        </w:rPr>
      </w:pPr>
    </w:p>
    <w:p w:rsidR="004712B1" w:rsidRPr="003948BA" w:rsidRDefault="004712B1" w:rsidP="004712B1">
      <w:pPr>
        <w:widowControl/>
        <w:adjustRightInd w:val="0"/>
        <w:ind w:left="2360"/>
        <w:jc w:val="both"/>
        <w:rPr>
          <w:sz w:val="20"/>
          <w:szCs w:val="20"/>
        </w:rPr>
      </w:pPr>
      <w:r w:rsidRPr="003948BA">
        <w:rPr>
          <w:sz w:val="20"/>
          <w:szCs w:val="20"/>
        </w:rPr>
        <w:t>The CPPI Methodology shall be used for Preservation of the principal. In the event the methodology does not accurately evaluate and determine a suitable asset allocation pattern or the structure of portfolio, this may impact the ability of the Plan to provide Principal Preservation on the Maturity Date.</w:t>
      </w:r>
    </w:p>
    <w:p w:rsidR="004712B1" w:rsidRPr="003948BA" w:rsidRDefault="004712B1" w:rsidP="004712B1">
      <w:pPr>
        <w:ind w:left="1280"/>
        <w:contextualSpacing/>
        <w:rPr>
          <w:sz w:val="20"/>
          <w:szCs w:val="20"/>
        </w:rPr>
      </w:pPr>
    </w:p>
    <w:p w:rsidR="004712B1" w:rsidRPr="003948BA" w:rsidRDefault="004712B1" w:rsidP="004712B1">
      <w:pPr>
        <w:widowControl/>
        <w:adjustRightInd w:val="0"/>
        <w:ind w:left="2360"/>
        <w:jc w:val="both"/>
        <w:rPr>
          <w:sz w:val="20"/>
          <w:szCs w:val="20"/>
        </w:rPr>
      </w:pPr>
      <w:r w:rsidRPr="003948BA">
        <w:rPr>
          <w:sz w:val="20"/>
          <w:szCs w:val="20"/>
        </w:rPr>
        <w:t>The Plan, in its endeavor to seek Principal Preservation, may allocate the entire portfolio to underlying investments in the Principal Preservation Segment under the Authorized investments in clause 2.2.2 and Units of the Plan may remain invested in such underlying investments for the entire tenure of the Plan without any participation in the Islamic equity component of the Investment Segment</w:t>
      </w:r>
    </w:p>
    <w:p w:rsidR="004712B1" w:rsidRPr="003948BA" w:rsidRDefault="004712B1" w:rsidP="004712B1">
      <w:pPr>
        <w:adjustRightInd w:val="0"/>
        <w:ind w:left="2720"/>
        <w:jc w:val="both"/>
        <w:rPr>
          <w:sz w:val="20"/>
          <w:szCs w:val="20"/>
        </w:rPr>
      </w:pPr>
    </w:p>
    <w:p w:rsidR="004712B1" w:rsidRPr="003948BA" w:rsidRDefault="004712B1" w:rsidP="004712B1">
      <w:pPr>
        <w:widowControl/>
        <w:adjustRightInd w:val="0"/>
        <w:ind w:left="2360"/>
        <w:jc w:val="both"/>
        <w:rPr>
          <w:sz w:val="20"/>
          <w:szCs w:val="20"/>
        </w:rPr>
      </w:pPr>
      <w:r w:rsidRPr="003948BA">
        <w:rPr>
          <w:sz w:val="20"/>
          <w:szCs w:val="20"/>
        </w:rPr>
        <w:t>At times of high volatility in the equity markets or any other circumstances, it may not be possible to carry out the portfolio rebalancing. In such a case, the reallocation may take place on the next business day or on a business day as deemed appropriate by the Management Company. Such circumstances may affect the Plan’s ability to seek Principal Preservation.</w:t>
      </w:r>
    </w:p>
    <w:p w:rsidR="004712B1" w:rsidRPr="003948BA" w:rsidRDefault="004712B1" w:rsidP="004712B1">
      <w:pPr>
        <w:ind w:left="1280"/>
        <w:contextualSpacing/>
        <w:rPr>
          <w:sz w:val="20"/>
          <w:szCs w:val="20"/>
        </w:rPr>
      </w:pPr>
    </w:p>
    <w:p w:rsidR="004712B1" w:rsidRPr="003948BA" w:rsidRDefault="004712B1" w:rsidP="004712B1">
      <w:pPr>
        <w:widowControl/>
        <w:adjustRightInd w:val="0"/>
        <w:ind w:left="2360"/>
        <w:jc w:val="both"/>
        <w:rPr>
          <w:sz w:val="20"/>
          <w:szCs w:val="20"/>
        </w:rPr>
      </w:pPr>
      <w:r w:rsidRPr="003948BA">
        <w:rPr>
          <w:sz w:val="20"/>
          <w:szCs w:val="20"/>
        </w:rPr>
        <w:t>As the allocation of portfolio changes from Islamic equity to full Islamic sovereign income/ Islamic money market component consequent to steep fall in equity markets, there may be no participation in subsequent upward movement in the Islamic equity component while the Plan remains invested entirely in the Islamic money market/ Islamic sovereign income component.</w:t>
      </w:r>
    </w:p>
    <w:p w:rsidR="004712B1" w:rsidRPr="003948BA" w:rsidRDefault="004712B1" w:rsidP="004712B1">
      <w:pPr>
        <w:tabs>
          <w:tab w:val="left" w:pos="360"/>
        </w:tabs>
        <w:adjustRightInd w:val="0"/>
        <w:ind w:left="2160"/>
        <w:contextualSpacing/>
        <w:jc w:val="both"/>
        <w:rPr>
          <w:b/>
          <w:bCs/>
          <w:sz w:val="20"/>
          <w:szCs w:val="20"/>
        </w:rPr>
      </w:pPr>
    </w:p>
    <w:p w:rsidR="004712B1" w:rsidRPr="003948BA" w:rsidRDefault="004712B1" w:rsidP="004712B1">
      <w:pPr>
        <w:pStyle w:val="BodyText"/>
        <w:spacing w:before="1"/>
        <w:ind w:left="2360"/>
      </w:pPr>
      <w:r w:rsidRPr="003948BA">
        <w:rPr>
          <w:b/>
          <w:bCs/>
        </w:rPr>
        <w:t xml:space="preserve">Early termination risk </w:t>
      </w:r>
      <w:r w:rsidRPr="003948BA">
        <w:t>- If the Plan for any reasons as determined by the Management Company, is terminated, the NAV of the Plan will be subject to fluctuations in the value of the Plan’s assets. The Net Asset Value, in this case, may be lower or higher than the Initial Investment Value. The Management Company will refund investors their investment in the Plan based on the NAV per unit without any redemption fee but less bank and administrative charges (if any).</w:t>
      </w:r>
    </w:p>
    <w:p w:rsidR="004712B1" w:rsidRPr="003948BA" w:rsidRDefault="004712B1" w:rsidP="004712B1">
      <w:pPr>
        <w:pStyle w:val="BodyText"/>
        <w:spacing w:before="1"/>
        <w:ind w:left="2360"/>
        <w:rPr>
          <w:sz w:val="31"/>
        </w:rPr>
      </w:pPr>
    </w:p>
    <w:p w:rsidR="005E5B48" w:rsidRPr="003948BA" w:rsidRDefault="00814043" w:rsidP="001A445F">
      <w:pPr>
        <w:pStyle w:val="BodyText"/>
        <w:ind w:left="2360" w:right="20"/>
        <w:jc w:val="both"/>
      </w:pPr>
      <w:r w:rsidRPr="003948BA">
        <w:rPr>
          <w:b/>
        </w:rPr>
        <w:t xml:space="preserve">Government Regulation Risk </w:t>
      </w:r>
      <w:r w:rsidRPr="003948BA">
        <w:t>- Government policies or regulations are more prevalent in some securities and financial instruments than in others. Funds that invest in such securities may be affected due to change in these regulations or policies, which directly or indirectly affect the structure of the security and/or in extreme cases a governmental or court order could restrain payment of capital, principal or income</w:t>
      </w:r>
    </w:p>
    <w:p w:rsidR="005E5B48" w:rsidRPr="003948BA" w:rsidRDefault="005E5B48" w:rsidP="001A445F">
      <w:pPr>
        <w:pStyle w:val="BodyText"/>
        <w:spacing w:before="10"/>
        <w:ind w:right="20"/>
        <w:rPr>
          <w:sz w:val="30"/>
        </w:rPr>
      </w:pPr>
    </w:p>
    <w:p w:rsidR="005E5B48" w:rsidRPr="003948BA" w:rsidRDefault="00814043" w:rsidP="001A445F">
      <w:pPr>
        <w:pStyle w:val="BodyText"/>
        <w:ind w:left="2360" w:right="20"/>
        <w:jc w:val="both"/>
      </w:pPr>
      <w:r w:rsidRPr="003948BA">
        <w:rPr>
          <w:b/>
        </w:rPr>
        <w:t xml:space="preserve">Credit Risk </w:t>
      </w:r>
      <w:r w:rsidRPr="003948BA">
        <w:t>- Credit risk is comprised of default risk; credit spread risk and downgrade risk. Each can have a negative impact on the value of the underlying CIS.</w:t>
      </w:r>
    </w:p>
    <w:p w:rsidR="005E5B48" w:rsidRPr="003948BA" w:rsidRDefault="005E5B48" w:rsidP="001A445F">
      <w:pPr>
        <w:pStyle w:val="BodyText"/>
        <w:ind w:right="20"/>
        <w:rPr>
          <w:sz w:val="31"/>
        </w:rPr>
      </w:pPr>
    </w:p>
    <w:p w:rsidR="005E5B48" w:rsidRPr="003948BA" w:rsidRDefault="00814043" w:rsidP="001A445F">
      <w:pPr>
        <w:pStyle w:val="BodyText"/>
        <w:ind w:left="2360" w:right="20"/>
        <w:jc w:val="both"/>
      </w:pPr>
      <w:r w:rsidRPr="003948BA">
        <w:rPr>
          <w:b/>
        </w:rPr>
        <w:t xml:space="preserve">Default risk </w:t>
      </w:r>
      <w:r w:rsidRPr="003948BA">
        <w:t>is the risk that the issuer will not be able to pay the Interest / Markup / principal obligation, either on time or at all.</w:t>
      </w:r>
    </w:p>
    <w:p w:rsidR="005E5B48" w:rsidRPr="003948BA" w:rsidRDefault="005E5B48" w:rsidP="001A445F">
      <w:pPr>
        <w:pStyle w:val="BodyText"/>
        <w:ind w:right="20"/>
        <w:rPr>
          <w:sz w:val="31"/>
        </w:rPr>
      </w:pPr>
    </w:p>
    <w:p w:rsidR="005E5B48" w:rsidRPr="003948BA" w:rsidRDefault="00814043" w:rsidP="001A445F">
      <w:pPr>
        <w:pStyle w:val="BodyText"/>
        <w:spacing w:before="1"/>
        <w:ind w:left="2360" w:right="20"/>
        <w:jc w:val="both"/>
      </w:pPr>
      <w:r w:rsidRPr="003948BA">
        <w:rPr>
          <w:b/>
        </w:rPr>
        <w:lastRenderedPageBreak/>
        <w:t xml:space="preserve">Interest Rate Risk </w:t>
      </w:r>
      <w:r w:rsidRPr="003948BA">
        <w:t>– A rise or decline in interest rates during the investment term may result in a change in return provided to the investors.</w:t>
      </w:r>
    </w:p>
    <w:p w:rsidR="005E5B48" w:rsidRPr="003948BA" w:rsidRDefault="005E5B48" w:rsidP="001A445F">
      <w:pPr>
        <w:pStyle w:val="BodyText"/>
        <w:spacing w:before="11"/>
        <w:ind w:right="20"/>
        <w:rPr>
          <w:sz w:val="30"/>
        </w:rPr>
      </w:pPr>
    </w:p>
    <w:p w:rsidR="005E5B48" w:rsidRPr="003948BA" w:rsidRDefault="00814043" w:rsidP="001A445F">
      <w:pPr>
        <w:pStyle w:val="BodyText"/>
        <w:ind w:left="2360" w:right="20"/>
        <w:jc w:val="both"/>
      </w:pPr>
      <w:r w:rsidRPr="003948BA">
        <w:rPr>
          <w:b/>
        </w:rPr>
        <w:t xml:space="preserve">Country or Political Risk </w:t>
      </w:r>
      <w:r w:rsidRPr="003948BA">
        <w:t>– The uncertainty of returns caused by the possibility of a major change in the political or economic environment of the country such as break down of law and order, war, natural disasters, etc. and any governmental actions or legislative changes.</w:t>
      </w:r>
    </w:p>
    <w:p w:rsidR="005E5B48" w:rsidRPr="003948BA" w:rsidRDefault="005E5B48" w:rsidP="001A445F">
      <w:pPr>
        <w:pStyle w:val="BodyText"/>
        <w:spacing w:before="9"/>
        <w:ind w:right="20"/>
        <w:rPr>
          <w:sz w:val="30"/>
        </w:rPr>
      </w:pPr>
    </w:p>
    <w:p w:rsidR="005E5B48" w:rsidRPr="003948BA" w:rsidRDefault="00814043" w:rsidP="001A445F">
      <w:pPr>
        <w:pStyle w:val="BodyText"/>
        <w:ind w:left="2360" w:right="20"/>
        <w:jc w:val="both"/>
      </w:pPr>
      <w:r w:rsidRPr="003948BA">
        <w:rPr>
          <w:b/>
        </w:rPr>
        <w:t xml:space="preserve">Credit Spread Risk </w:t>
      </w:r>
      <w:r w:rsidRPr="003948BA">
        <w:t xml:space="preserve">- The risk that there may be an increase in the difference between the return/markup rate of any issuer's security and the return/markup rate of a risk free security. The difference between this return/mark up rates is called a "credit spread". Credit spreads are based on macroeconomic events in the domestic or global financial markets. An increase in credit spread </w:t>
      </w:r>
      <w:r w:rsidR="00CB587F" w:rsidRPr="003948BA">
        <w:t>will decrease</w:t>
      </w:r>
      <w:r w:rsidRPr="003948BA">
        <w:t xml:space="preserve"> the value of income and including money market</w:t>
      </w:r>
      <w:r w:rsidRPr="003948BA">
        <w:rPr>
          <w:spacing w:val="-4"/>
        </w:rPr>
        <w:t xml:space="preserve"> </w:t>
      </w:r>
      <w:r w:rsidRPr="003948BA">
        <w:t>instruments;</w:t>
      </w:r>
    </w:p>
    <w:p w:rsidR="005E5B48" w:rsidRPr="003948BA" w:rsidRDefault="005E5B48" w:rsidP="001A445F">
      <w:pPr>
        <w:pStyle w:val="BodyText"/>
        <w:spacing w:before="11"/>
        <w:ind w:right="20"/>
        <w:rPr>
          <w:sz w:val="30"/>
        </w:rPr>
      </w:pPr>
    </w:p>
    <w:p w:rsidR="005E5B48" w:rsidRPr="003948BA" w:rsidRDefault="00814043" w:rsidP="001A445F">
      <w:pPr>
        <w:pStyle w:val="BodyText"/>
        <w:spacing w:line="242" w:lineRule="auto"/>
        <w:ind w:left="2360" w:right="20"/>
        <w:jc w:val="both"/>
      </w:pPr>
      <w:r w:rsidRPr="003948BA">
        <w:rPr>
          <w:b/>
        </w:rPr>
        <w:t xml:space="preserve">Price Risk </w:t>
      </w:r>
      <w:r w:rsidRPr="003948BA">
        <w:t>- The price risk is defined as when the value of the Fund, due to its holdings in such securities rises and falls as a result of change in interest rates.</w:t>
      </w:r>
    </w:p>
    <w:p w:rsidR="005E5B48" w:rsidRPr="003948BA" w:rsidRDefault="005E5B48" w:rsidP="001A445F">
      <w:pPr>
        <w:pStyle w:val="BodyText"/>
        <w:spacing w:before="6"/>
        <w:ind w:right="20"/>
        <w:rPr>
          <w:sz w:val="30"/>
        </w:rPr>
      </w:pPr>
    </w:p>
    <w:p w:rsidR="005E5B48" w:rsidRPr="003948BA" w:rsidRDefault="00814043" w:rsidP="001A445F">
      <w:pPr>
        <w:pStyle w:val="BodyText"/>
        <w:ind w:left="2360" w:right="20"/>
        <w:jc w:val="both"/>
      </w:pPr>
      <w:r w:rsidRPr="003948BA">
        <w:rPr>
          <w:b/>
        </w:rPr>
        <w:t xml:space="preserve">Liquidity Risk </w:t>
      </w:r>
      <w:r w:rsidRPr="003948BA">
        <w:t>– Liquidity risk is the possibility of deterioration in the price of a</w:t>
      </w:r>
      <w:r w:rsidR="001A445F" w:rsidRPr="003948BA">
        <w:t xml:space="preserve"> </w:t>
      </w:r>
      <w:r w:rsidRPr="003948BA">
        <w:t>security in the Fund when it is offered for sale in the secondary market.</w:t>
      </w:r>
    </w:p>
    <w:p w:rsidR="005E5B48" w:rsidRPr="003948BA" w:rsidRDefault="005E5B48" w:rsidP="001A445F">
      <w:pPr>
        <w:pStyle w:val="BodyText"/>
        <w:spacing w:before="11"/>
        <w:ind w:right="20"/>
        <w:rPr>
          <w:sz w:val="30"/>
        </w:rPr>
      </w:pPr>
    </w:p>
    <w:p w:rsidR="004712B1" w:rsidRPr="003948BA" w:rsidRDefault="004712B1" w:rsidP="00F96FC9">
      <w:pPr>
        <w:pStyle w:val="BodyText"/>
        <w:spacing w:before="11"/>
        <w:ind w:left="2360" w:right="20"/>
        <w:jc w:val="both"/>
      </w:pPr>
      <w:r w:rsidRPr="003948BA">
        <w:rPr>
          <w:b/>
          <w:bCs/>
        </w:rPr>
        <w:t xml:space="preserve">Mismatch Risk </w:t>
      </w:r>
      <w:r w:rsidRPr="003948BA">
        <w:t>– This risk pertains to the event where in case of a Bond Event there is no risk free CIS available for the Plan to invest in that offers the same yield as required for Principal Preservation at maturity.</w:t>
      </w:r>
    </w:p>
    <w:p w:rsidR="004712B1" w:rsidRPr="003948BA" w:rsidRDefault="004712B1" w:rsidP="001A445F">
      <w:pPr>
        <w:pStyle w:val="BodyText"/>
        <w:spacing w:before="11"/>
        <w:ind w:right="20"/>
        <w:rPr>
          <w:sz w:val="30"/>
        </w:rPr>
      </w:pPr>
    </w:p>
    <w:p w:rsidR="005E5B48" w:rsidRPr="003948BA" w:rsidRDefault="00814043" w:rsidP="001A445F">
      <w:pPr>
        <w:pStyle w:val="BodyText"/>
        <w:ind w:left="2360" w:right="20"/>
        <w:jc w:val="both"/>
      </w:pPr>
      <w:r w:rsidRPr="003948BA">
        <w:rPr>
          <w:b/>
        </w:rPr>
        <w:t xml:space="preserve">Settlement Risk </w:t>
      </w:r>
      <w:r w:rsidRPr="003948BA">
        <w:t xml:space="preserve">– At times, the Fund may encounter settlement </w:t>
      </w:r>
      <w:r w:rsidR="00CB587F" w:rsidRPr="003948BA">
        <w:t>risk in</w:t>
      </w:r>
      <w:r w:rsidRPr="003948BA">
        <w:t xml:space="preserve"> purchasing / investing and maturing / selling its investments which may affect the </w:t>
      </w:r>
      <w:r w:rsidR="00CB587F" w:rsidRPr="003948BA">
        <w:t>Fund’s</w:t>
      </w:r>
      <w:r w:rsidRPr="003948BA">
        <w:t xml:space="preserve"> performance etc.</w:t>
      </w:r>
    </w:p>
    <w:p w:rsidR="005E5B48" w:rsidRPr="003948BA" w:rsidRDefault="005E5B48" w:rsidP="001A445F">
      <w:pPr>
        <w:pStyle w:val="BodyText"/>
        <w:ind w:right="20"/>
        <w:rPr>
          <w:sz w:val="31"/>
        </w:rPr>
      </w:pPr>
    </w:p>
    <w:p w:rsidR="005E5B48" w:rsidRPr="003948BA" w:rsidRDefault="00814043" w:rsidP="001A445F">
      <w:pPr>
        <w:pStyle w:val="BodyText"/>
        <w:ind w:left="2360" w:right="20"/>
        <w:jc w:val="both"/>
      </w:pPr>
      <w:r w:rsidRPr="003948BA">
        <w:rPr>
          <w:b/>
        </w:rPr>
        <w:t xml:space="preserve">Reinvestment Rate Risk </w:t>
      </w:r>
      <w:r w:rsidRPr="003948BA">
        <w:t>–In a declining interest/ markup rate economic environment, there is a risk that maturing securities or coupon payments will be reinvested at lower rates, which shall reduce the return of the Fund compared to return earned in the preceding quarters.</w:t>
      </w:r>
    </w:p>
    <w:p w:rsidR="005E5B48" w:rsidRPr="003948BA" w:rsidRDefault="005E5B48">
      <w:pPr>
        <w:pStyle w:val="BodyText"/>
        <w:spacing w:before="9"/>
        <w:rPr>
          <w:sz w:val="30"/>
        </w:rPr>
      </w:pPr>
    </w:p>
    <w:p w:rsidR="005E5B48" w:rsidRPr="003948BA" w:rsidRDefault="00814043">
      <w:pPr>
        <w:pStyle w:val="BodyText"/>
        <w:ind w:left="2360" w:right="1014"/>
        <w:jc w:val="both"/>
      </w:pPr>
      <w:r w:rsidRPr="003948BA">
        <w:rPr>
          <w:b/>
        </w:rPr>
        <w:t xml:space="preserve">Events Risk </w:t>
      </w:r>
      <w:r w:rsidRPr="003948BA">
        <w:t>- There may be adjustments to the performance of the Fund due to events including but not limited to, natural calamities, market disruptions, mergers, nationalization, insolvency and changes in tax law.</w:t>
      </w:r>
    </w:p>
    <w:p w:rsidR="005E5B48" w:rsidRPr="003948BA" w:rsidRDefault="005E5B48">
      <w:pPr>
        <w:pStyle w:val="BodyText"/>
        <w:spacing w:before="1"/>
        <w:rPr>
          <w:sz w:val="31"/>
        </w:rPr>
      </w:pPr>
    </w:p>
    <w:p w:rsidR="005E5B48" w:rsidRPr="003948BA" w:rsidRDefault="00814043">
      <w:pPr>
        <w:pStyle w:val="BodyText"/>
        <w:ind w:left="2360" w:right="1015"/>
        <w:jc w:val="both"/>
      </w:pPr>
      <w:r w:rsidRPr="003948BA">
        <w:rPr>
          <w:b/>
        </w:rPr>
        <w:t xml:space="preserve">Redemption Risk </w:t>
      </w:r>
      <w:r w:rsidRPr="003948BA">
        <w:t>- There may be special circumstances in which the redemption of Units may be suspended or the redemption payment may not occur within six working days of receiving a request for redemption from the investor</w:t>
      </w:r>
    </w:p>
    <w:p w:rsidR="005E5B48" w:rsidRPr="003948BA" w:rsidRDefault="005E5B48">
      <w:pPr>
        <w:pStyle w:val="BodyText"/>
        <w:rPr>
          <w:sz w:val="31"/>
        </w:rPr>
      </w:pPr>
    </w:p>
    <w:p w:rsidR="005E5B48" w:rsidRPr="003948BA" w:rsidRDefault="00814043">
      <w:pPr>
        <w:ind w:left="2360" w:right="1014"/>
        <w:jc w:val="both"/>
        <w:rPr>
          <w:sz w:val="20"/>
        </w:rPr>
      </w:pPr>
      <w:r w:rsidRPr="003948BA">
        <w:rPr>
          <w:b/>
          <w:sz w:val="20"/>
        </w:rPr>
        <w:t xml:space="preserve">Performance Risks of Equity and Income Schemes </w:t>
      </w:r>
      <w:r w:rsidRPr="003948BA">
        <w:rPr>
          <w:sz w:val="20"/>
        </w:rPr>
        <w:t>– The performance of AIFPF</w:t>
      </w:r>
      <w:r w:rsidR="000C5565">
        <w:rPr>
          <w:sz w:val="20"/>
        </w:rPr>
        <w:t>-IV</w:t>
      </w:r>
      <w:r w:rsidRPr="003948BA">
        <w:rPr>
          <w:sz w:val="20"/>
        </w:rPr>
        <w:t xml:space="preserve"> would depend upon performance of the Equity Schemes and Income Schemes in which investments on account of Allocation Plans would be made.</w:t>
      </w:r>
    </w:p>
    <w:p w:rsidR="005E5B48" w:rsidRPr="003948BA" w:rsidRDefault="005E5B48">
      <w:pPr>
        <w:pStyle w:val="BodyText"/>
        <w:rPr>
          <w:sz w:val="31"/>
        </w:rPr>
      </w:pPr>
    </w:p>
    <w:p w:rsidR="005E5B48" w:rsidRPr="003948BA" w:rsidRDefault="00814043">
      <w:pPr>
        <w:pStyle w:val="BodyText"/>
        <w:ind w:left="2360" w:right="1014"/>
        <w:jc w:val="both"/>
      </w:pPr>
      <w:r w:rsidRPr="003948BA">
        <w:rPr>
          <w:b/>
        </w:rPr>
        <w:t xml:space="preserve">Distribution Taxation Risk </w:t>
      </w:r>
      <w:r w:rsidRPr="003948BA">
        <w:t>– Dividend distribution or Return of Capital to investors is liable to tax as per Income Ordinance 2001. The distributions are uniform across all units, therefore unit holders who invest in a fund before distribution of dividends may be liable to pay tax even though they may not have earned any gain on their</w:t>
      </w:r>
      <w:r w:rsidRPr="003948BA">
        <w:rPr>
          <w:spacing w:val="-4"/>
        </w:rPr>
        <w:t xml:space="preserve"> </w:t>
      </w:r>
      <w:r w:rsidRPr="003948BA">
        <w:t>investment.</w:t>
      </w:r>
    </w:p>
    <w:p w:rsidR="005E5B48" w:rsidRPr="003948BA" w:rsidRDefault="005E5B48">
      <w:pPr>
        <w:pStyle w:val="BodyText"/>
        <w:spacing w:before="10"/>
        <w:rPr>
          <w:sz w:val="30"/>
        </w:rPr>
      </w:pPr>
    </w:p>
    <w:p w:rsidR="005E5B48" w:rsidRPr="003948BA" w:rsidRDefault="00CB587F">
      <w:pPr>
        <w:ind w:left="2360" w:right="1012"/>
        <w:jc w:val="both"/>
        <w:rPr>
          <w:sz w:val="20"/>
        </w:rPr>
      </w:pPr>
      <w:r w:rsidRPr="003948BA">
        <w:rPr>
          <w:b/>
          <w:sz w:val="20"/>
        </w:rPr>
        <w:t>Sharia</w:t>
      </w:r>
      <w:r w:rsidR="00752E0F">
        <w:rPr>
          <w:b/>
          <w:sz w:val="20"/>
        </w:rPr>
        <w:t>h</w:t>
      </w:r>
      <w:r w:rsidR="00814043" w:rsidRPr="003948BA">
        <w:rPr>
          <w:b/>
          <w:sz w:val="20"/>
        </w:rPr>
        <w:t xml:space="preserve"> non-compliance Risk </w:t>
      </w:r>
      <w:r w:rsidR="00814043" w:rsidRPr="003948BA">
        <w:rPr>
          <w:sz w:val="20"/>
        </w:rPr>
        <w:t>- The risk associated with employing funds in investments that are not cons</w:t>
      </w:r>
      <w:r w:rsidR="007453FE" w:rsidRPr="003948BA">
        <w:rPr>
          <w:sz w:val="20"/>
        </w:rPr>
        <w:t xml:space="preserve">istent with the </w:t>
      </w:r>
      <w:proofErr w:type="spellStart"/>
      <w:r w:rsidR="007453FE" w:rsidRPr="003948BA">
        <w:rPr>
          <w:sz w:val="20"/>
        </w:rPr>
        <w:t>Maqasid</w:t>
      </w:r>
      <w:proofErr w:type="spellEnd"/>
      <w:r w:rsidR="007453FE" w:rsidRPr="003948BA">
        <w:rPr>
          <w:sz w:val="20"/>
        </w:rPr>
        <w:t xml:space="preserve"> e </w:t>
      </w:r>
      <w:proofErr w:type="spellStart"/>
      <w:r w:rsidR="007453FE" w:rsidRPr="003948BA">
        <w:rPr>
          <w:sz w:val="20"/>
        </w:rPr>
        <w:t>Shari</w:t>
      </w:r>
      <w:r w:rsidR="00814043" w:rsidRPr="003948BA">
        <w:rPr>
          <w:sz w:val="20"/>
        </w:rPr>
        <w:t>ah</w:t>
      </w:r>
      <w:proofErr w:type="spellEnd"/>
      <w:r w:rsidR="00814043" w:rsidRPr="003948BA">
        <w:rPr>
          <w:sz w:val="20"/>
        </w:rPr>
        <w:t>.</w:t>
      </w:r>
    </w:p>
    <w:p w:rsidR="005E5B48" w:rsidRPr="003948BA" w:rsidRDefault="005E5B48">
      <w:pPr>
        <w:pStyle w:val="BodyText"/>
        <w:rPr>
          <w:sz w:val="28"/>
        </w:rPr>
      </w:pPr>
    </w:p>
    <w:p w:rsidR="005E5B48" w:rsidRPr="003948BA" w:rsidRDefault="00814043" w:rsidP="00A002A6">
      <w:pPr>
        <w:pStyle w:val="Heading5"/>
        <w:numPr>
          <w:ilvl w:val="1"/>
          <w:numId w:val="37"/>
        </w:numPr>
        <w:tabs>
          <w:tab w:val="left" w:pos="2081"/>
          <w:tab w:val="left" w:pos="2082"/>
        </w:tabs>
        <w:spacing w:before="1"/>
        <w:ind w:left="2082" w:hanging="720"/>
        <w:jc w:val="left"/>
      </w:pPr>
      <w:bookmarkStart w:id="21" w:name="_bookmark20"/>
      <w:bookmarkEnd w:id="21"/>
      <w:r w:rsidRPr="003948BA">
        <w:t>Disclaimer</w:t>
      </w:r>
    </w:p>
    <w:p w:rsidR="005E5B48" w:rsidRPr="003948BA" w:rsidRDefault="005E5B48">
      <w:pPr>
        <w:pStyle w:val="BodyText"/>
        <w:spacing w:before="6"/>
        <w:rPr>
          <w:b/>
          <w:sz w:val="27"/>
        </w:rPr>
      </w:pPr>
    </w:p>
    <w:p w:rsidR="005E5B48" w:rsidRPr="003948BA" w:rsidRDefault="00814043">
      <w:pPr>
        <w:pStyle w:val="BodyText"/>
        <w:ind w:left="2082" w:right="1013"/>
        <w:jc w:val="both"/>
      </w:pPr>
      <w:r w:rsidRPr="003948BA">
        <w:t xml:space="preserve">The Units of the Trust are not bank deposits and are neither issued by, insured by, obligations of, nor otherwise supported by SECP, any Government agency, the </w:t>
      </w:r>
      <w:r w:rsidRPr="003948BA">
        <w:lastRenderedPageBreak/>
        <w:t>Trustee (except to the extent specifically stated in this document and the Deed) or any of the shareholders of the Management Company or any other bank or financial institution.</w:t>
      </w:r>
    </w:p>
    <w:p w:rsidR="005E5B48" w:rsidRPr="003948BA" w:rsidRDefault="005E5B48">
      <w:pPr>
        <w:pStyle w:val="BodyText"/>
        <w:spacing w:before="6"/>
      </w:pPr>
    </w:p>
    <w:p w:rsidR="005E5B48" w:rsidRPr="003948BA" w:rsidRDefault="00814043">
      <w:pPr>
        <w:pStyle w:val="BodyText"/>
        <w:ind w:left="2173" w:right="1004"/>
        <w:jc w:val="both"/>
      </w:pPr>
      <w:r w:rsidRPr="003948BA">
        <w:rPr>
          <w:b/>
        </w:rPr>
        <w:t xml:space="preserve">Disclosure: </w:t>
      </w:r>
      <w:r w:rsidRPr="003948BA">
        <w:t xml:space="preserve">There may be times when a portion of the investment portfolio of the Scheme is not compliant either with the investment policy or the </w:t>
      </w:r>
      <w:r w:rsidR="00CB587F" w:rsidRPr="003948BA">
        <w:t>minimum investment</w:t>
      </w:r>
      <w:r w:rsidRPr="003948BA">
        <w:t xml:space="preserve"> criteria of the assigned „category‟. This non-compliance may be due to various reasons including, adverse market conditions, liquidity constraints or investment – specific issues. Investors are advised to study the latest Fund Manager Report specially portfolio composition and Financial Statements of the Scheme to determine what percentage of the assets of the Scheme, if any, is not in compliance with the minimum investment criteria of the assigned category. The latest monthly Fund Manager Report as per the format prescribed by Mutual Funds Association of Pakistan (MUFAP) and financial statements of the Scheme are available on the website of the Management Company and can be obtained by calling / writing to the Management</w:t>
      </w:r>
      <w:r w:rsidRPr="003948BA">
        <w:rPr>
          <w:spacing w:val="-2"/>
        </w:rPr>
        <w:t xml:space="preserve"> </w:t>
      </w:r>
      <w:r w:rsidRPr="003948BA">
        <w:t>Company.</w:t>
      </w:r>
    </w:p>
    <w:p w:rsidR="005E5B48" w:rsidRPr="003948BA" w:rsidRDefault="005E5B48">
      <w:pPr>
        <w:pStyle w:val="BodyText"/>
        <w:rPr>
          <w:sz w:val="22"/>
        </w:rPr>
      </w:pPr>
    </w:p>
    <w:p w:rsidR="005E5B48" w:rsidRPr="003948BA" w:rsidRDefault="00814043" w:rsidP="00A002A6">
      <w:pPr>
        <w:pStyle w:val="Heading5"/>
        <w:numPr>
          <w:ilvl w:val="0"/>
          <w:numId w:val="39"/>
        </w:numPr>
        <w:tabs>
          <w:tab w:val="left" w:pos="1793"/>
          <w:tab w:val="left" w:pos="1794"/>
        </w:tabs>
        <w:spacing w:before="159"/>
        <w:ind w:left="1794"/>
        <w:jc w:val="left"/>
      </w:pPr>
      <w:bookmarkStart w:id="22" w:name="_bookmark21"/>
      <w:bookmarkEnd w:id="22"/>
      <w:r w:rsidRPr="003948BA">
        <w:t>OPERATORS AND</w:t>
      </w:r>
      <w:r w:rsidRPr="003948BA">
        <w:rPr>
          <w:spacing w:val="-9"/>
        </w:rPr>
        <w:t xml:space="preserve"> </w:t>
      </w:r>
      <w:r w:rsidRPr="003948BA">
        <w:t>PRINCIPALS</w:t>
      </w:r>
    </w:p>
    <w:p w:rsidR="005E5B48" w:rsidRPr="003948BA" w:rsidRDefault="00814043" w:rsidP="00A002A6">
      <w:pPr>
        <w:pStyle w:val="ListParagraph"/>
        <w:numPr>
          <w:ilvl w:val="1"/>
          <w:numId w:val="39"/>
        </w:numPr>
        <w:tabs>
          <w:tab w:val="left" w:pos="2262"/>
        </w:tabs>
        <w:spacing w:before="121"/>
        <w:ind w:left="2262" w:hanging="449"/>
        <w:rPr>
          <w:b/>
          <w:sz w:val="20"/>
        </w:rPr>
      </w:pPr>
      <w:bookmarkStart w:id="23" w:name="_bookmark22"/>
      <w:bookmarkEnd w:id="23"/>
      <w:r w:rsidRPr="003948BA">
        <w:rPr>
          <w:b/>
          <w:sz w:val="20"/>
        </w:rPr>
        <w:t>Management</w:t>
      </w:r>
      <w:r w:rsidRPr="003948BA">
        <w:rPr>
          <w:b/>
          <w:spacing w:val="-2"/>
          <w:sz w:val="20"/>
        </w:rPr>
        <w:t xml:space="preserve"> </w:t>
      </w:r>
      <w:r w:rsidRPr="003948BA">
        <w:rPr>
          <w:b/>
          <w:sz w:val="20"/>
        </w:rPr>
        <w:t>Company</w:t>
      </w:r>
    </w:p>
    <w:p w:rsidR="005E5B48" w:rsidRPr="003948BA" w:rsidRDefault="005E5B48">
      <w:pPr>
        <w:pStyle w:val="BodyText"/>
        <w:spacing w:before="5"/>
        <w:rPr>
          <w:b/>
          <w:sz w:val="30"/>
        </w:rPr>
      </w:pPr>
    </w:p>
    <w:p w:rsidR="00F810B4" w:rsidRPr="00A96E38" w:rsidRDefault="00F810B4" w:rsidP="00A96E38">
      <w:pPr>
        <w:adjustRightInd w:val="0"/>
        <w:ind w:left="2160" w:right="504"/>
        <w:jc w:val="both"/>
        <w:rPr>
          <w:sz w:val="20"/>
          <w:szCs w:val="20"/>
        </w:rPr>
      </w:pPr>
      <w:bookmarkStart w:id="24" w:name="_bookmark23"/>
      <w:bookmarkStart w:id="25" w:name="_bookmark24"/>
      <w:bookmarkStart w:id="26" w:name="_bookmark25"/>
      <w:bookmarkStart w:id="27" w:name="_bookmark26"/>
      <w:bookmarkStart w:id="28" w:name="_bookmark27"/>
      <w:bookmarkEnd w:id="24"/>
      <w:bookmarkEnd w:id="25"/>
      <w:bookmarkEnd w:id="26"/>
      <w:bookmarkEnd w:id="27"/>
      <w:bookmarkEnd w:id="28"/>
      <w:r w:rsidRPr="00A96E38">
        <w:rPr>
          <w:sz w:val="20"/>
          <w:szCs w:val="20"/>
        </w:rPr>
        <w:t xml:space="preserve">UBL Funds is a wholly owned subsidiary of United Bank Limited (UBL), recognized as one of the trusted names in the banking sector. UBL Funds was incorporated in August 2002, and since then it has been a leader in providing innovative solutions for growing customer needs in a dynamic market. It was the first asset management company (AMC) to be launched by a Bank in Pakistan. The assets under management (AUM) of UBL Funds were </w:t>
      </w:r>
      <w:r w:rsidR="00030318" w:rsidRPr="00030318">
        <w:rPr>
          <w:sz w:val="20"/>
          <w:szCs w:val="20"/>
        </w:rPr>
        <w:t>Rs. 63.23 billion</w:t>
      </w:r>
      <w:r w:rsidR="00FC67D4">
        <w:rPr>
          <w:sz w:val="20"/>
          <w:szCs w:val="20"/>
        </w:rPr>
        <w:t xml:space="preserve"> </w:t>
      </w:r>
      <w:r w:rsidR="00030318" w:rsidRPr="00030318">
        <w:rPr>
          <w:sz w:val="20"/>
          <w:szCs w:val="20"/>
        </w:rPr>
        <w:t>(As of March 31, 2019)</w:t>
      </w:r>
      <w:r w:rsidRPr="00A96E38">
        <w:rPr>
          <w:sz w:val="20"/>
          <w:szCs w:val="20"/>
        </w:rPr>
        <w:t>, making it one of the largest AMCs with respect to AUM.</w:t>
      </w:r>
    </w:p>
    <w:p w:rsidR="00F810B4" w:rsidRPr="00A96E38" w:rsidRDefault="00F810B4" w:rsidP="00F810B4">
      <w:pPr>
        <w:adjustRightInd w:val="0"/>
        <w:ind w:left="720" w:right="504"/>
        <w:jc w:val="both"/>
        <w:rPr>
          <w:sz w:val="20"/>
          <w:szCs w:val="20"/>
        </w:rPr>
      </w:pPr>
    </w:p>
    <w:p w:rsidR="00030318" w:rsidRPr="00F57039" w:rsidRDefault="00030318" w:rsidP="00030318">
      <w:pPr>
        <w:pStyle w:val="BodyText"/>
        <w:spacing w:line="247" w:lineRule="auto"/>
        <w:ind w:left="2160" w:right="1155"/>
        <w:jc w:val="both"/>
        <w:rPr>
          <w:w w:val="105"/>
        </w:rPr>
      </w:pPr>
      <w:r w:rsidRPr="00F57039">
        <w:rPr>
          <w:w w:val="105"/>
        </w:rPr>
        <w:t>UBL Funds has been awarded a Management Quality Rating of “AM1” from JCR VIS Credit Company Limited.</w:t>
      </w:r>
    </w:p>
    <w:p w:rsidR="00030318" w:rsidRPr="00F57039" w:rsidRDefault="00030318" w:rsidP="00030318">
      <w:pPr>
        <w:pStyle w:val="BodyText"/>
        <w:spacing w:line="247" w:lineRule="auto"/>
        <w:ind w:left="2160" w:right="1155"/>
        <w:jc w:val="both"/>
        <w:rPr>
          <w:w w:val="105"/>
        </w:rPr>
      </w:pPr>
    </w:p>
    <w:p w:rsidR="00030318" w:rsidRDefault="00030318" w:rsidP="00030318">
      <w:pPr>
        <w:pStyle w:val="BodyText"/>
        <w:spacing w:line="247" w:lineRule="auto"/>
        <w:ind w:left="2160" w:right="1155"/>
        <w:jc w:val="both"/>
      </w:pPr>
      <w:r w:rsidRPr="00F57039">
        <w:rPr>
          <w:w w:val="105"/>
        </w:rPr>
        <w:t>UBL Funds is currently managing Twenty One (21) mutual funds, Twenty Four (24) investment plans and two (2) Voluntary Pension Schemes.</w:t>
      </w:r>
    </w:p>
    <w:p w:rsidR="0070181A" w:rsidRPr="003948BA" w:rsidRDefault="0070181A" w:rsidP="0070181A">
      <w:pPr>
        <w:adjustRightInd w:val="0"/>
        <w:ind w:left="720" w:right="504"/>
        <w:jc w:val="both"/>
        <w:rPr>
          <w:bCs/>
          <w:color w:val="000000"/>
        </w:rPr>
      </w:pPr>
    </w:p>
    <w:p w:rsidR="0070181A" w:rsidRPr="003948BA" w:rsidRDefault="0070181A" w:rsidP="00A96E38">
      <w:pPr>
        <w:pStyle w:val="Heading3"/>
        <w:ind w:left="720" w:right="504" w:firstLine="720"/>
        <w:jc w:val="both"/>
        <w:rPr>
          <w:b w:val="0"/>
          <w:i w:val="0"/>
          <w:color w:val="000000"/>
        </w:rPr>
      </w:pPr>
      <w:r w:rsidRPr="003948BA">
        <w:rPr>
          <w:snapToGrid w:val="0"/>
          <w:color w:val="000000"/>
        </w:rPr>
        <w:t>3.2</w:t>
      </w:r>
      <w:r w:rsidRPr="003948BA">
        <w:rPr>
          <w:snapToGrid w:val="0"/>
          <w:color w:val="000000"/>
        </w:rPr>
        <w:tab/>
        <w:t>Organization</w:t>
      </w:r>
    </w:p>
    <w:p w:rsidR="0070181A" w:rsidRPr="003948BA" w:rsidRDefault="0070181A" w:rsidP="0070181A">
      <w:pPr>
        <w:ind w:right="504"/>
        <w:jc w:val="both"/>
      </w:pPr>
    </w:p>
    <w:p w:rsidR="0070181A" w:rsidRPr="003948BA" w:rsidRDefault="0070181A" w:rsidP="00A96E38">
      <w:pPr>
        <w:ind w:left="1440" w:right="504" w:firstLine="720"/>
        <w:jc w:val="both"/>
      </w:pPr>
      <w:r w:rsidRPr="003948BA">
        <w:rPr>
          <w:b/>
          <w:bCs/>
          <w:snapToGrid w:val="0"/>
          <w:color w:val="000000"/>
        </w:rPr>
        <w:t>Principle Shareholders</w:t>
      </w:r>
    </w:p>
    <w:p w:rsidR="00F810B4" w:rsidRDefault="00F810B4" w:rsidP="00F810B4">
      <w:pPr>
        <w:pStyle w:val="BodyText"/>
        <w:rPr>
          <w:b/>
          <w:i/>
          <w:sz w:val="26"/>
        </w:rPr>
      </w:pPr>
      <w:bookmarkStart w:id="29" w:name="_Toc189039396"/>
      <w:bookmarkStart w:id="30" w:name="_Toc189039538"/>
      <w:bookmarkStart w:id="31" w:name="_Toc189039656"/>
      <w:bookmarkEnd w:id="29"/>
      <w:bookmarkEnd w:id="30"/>
      <w:bookmarkEnd w:id="31"/>
    </w:p>
    <w:p w:rsidR="00030318" w:rsidRDefault="00030318" w:rsidP="00F810B4">
      <w:pPr>
        <w:pStyle w:val="BodyText"/>
        <w:spacing w:before="11"/>
        <w:rPr>
          <w:b/>
          <w:i/>
          <w:sz w:val="27"/>
        </w:rPr>
      </w:pPr>
      <w:r>
        <w:rPr>
          <w:b/>
          <w:i/>
          <w:sz w:val="27"/>
        </w:rPr>
        <w:tab/>
      </w:r>
      <w:r>
        <w:rPr>
          <w:b/>
          <w:i/>
          <w:sz w:val="27"/>
        </w:rPr>
        <w:tab/>
      </w:r>
      <w:r>
        <w:rPr>
          <w:b/>
          <w:i/>
          <w:sz w:val="27"/>
        </w:rPr>
        <w:tab/>
      </w:r>
    </w:p>
    <w:tbl>
      <w:tblPr>
        <w:tblW w:w="7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2622"/>
        <w:gridCol w:w="3135"/>
      </w:tblGrid>
      <w:tr w:rsidR="00030318" w:rsidRPr="001D522B" w:rsidTr="00030318">
        <w:trPr>
          <w:trHeight w:val="368"/>
          <w:jc w:val="center"/>
        </w:trPr>
        <w:tc>
          <w:tcPr>
            <w:tcW w:w="1396" w:type="dxa"/>
            <w:vMerge w:val="restart"/>
            <w:vAlign w:val="center"/>
          </w:tcPr>
          <w:p w:rsidR="00030318" w:rsidRPr="001D522B" w:rsidRDefault="00030318" w:rsidP="00030318">
            <w:pPr>
              <w:ind w:right="504"/>
              <w:jc w:val="both"/>
              <w:rPr>
                <w:b/>
                <w:bCs/>
                <w:sz w:val="20"/>
                <w:szCs w:val="20"/>
              </w:rPr>
            </w:pPr>
            <w:r w:rsidRPr="001D522B">
              <w:rPr>
                <w:b/>
                <w:bCs/>
                <w:sz w:val="20"/>
                <w:szCs w:val="20"/>
              </w:rPr>
              <w:t>Name</w:t>
            </w:r>
          </w:p>
        </w:tc>
        <w:tc>
          <w:tcPr>
            <w:tcW w:w="5949" w:type="dxa"/>
            <w:gridSpan w:val="2"/>
            <w:vAlign w:val="center"/>
          </w:tcPr>
          <w:p w:rsidR="00030318" w:rsidRPr="001D522B" w:rsidRDefault="00030318" w:rsidP="00030318">
            <w:pPr>
              <w:ind w:right="504"/>
              <w:jc w:val="both"/>
              <w:rPr>
                <w:b/>
                <w:bCs/>
                <w:sz w:val="20"/>
                <w:szCs w:val="20"/>
              </w:rPr>
            </w:pPr>
            <w:r w:rsidRPr="001D522B">
              <w:rPr>
                <w:b/>
                <w:bCs/>
                <w:sz w:val="20"/>
                <w:szCs w:val="20"/>
              </w:rPr>
              <w:t>Paid Up Capital</w:t>
            </w:r>
          </w:p>
        </w:tc>
      </w:tr>
      <w:tr w:rsidR="00030318" w:rsidRPr="001D522B" w:rsidTr="00030318">
        <w:trPr>
          <w:trHeight w:val="346"/>
          <w:jc w:val="center"/>
        </w:trPr>
        <w:tc>
          <w:tcPr>
            <w:tcW w:w="1396" w:type="dxa"/>
            <w:vMerge/>
            <w:vAlign w:val="center"/>
          </w:tcPr>
          <w:p w:rsidR="00030318" w:rsidRPr="001D522B" w:rsidRDefault="00030318" w:rsidP="00030318">
            <w:pPr>
              <w:ind w:right="504"/>
              <w:jc w:val="both"/>
              <w:rPr>
                <w:b/>
                <w:bCs/>
                <w:sz w:val="20"/>
                <w:szCs w:val="20"/>
              </w:rPr>
            </w:pPr>
          </w:p>
        </w:tc>
        <w:tc>
          <w:tcPr>
            <w:tcW w:w="2700" w:type="dxa"/>
            <w:vAlign w:val="center"/>
          </w:tcPr>
          <w:p w:rsidR="00030318" w:rsidRPr="001D522B" w:rsidRDefault="00030318" w:rsidP="00030318">
            <w:pPr>
              <w:ind w:right="504"/>
              <w:jc w:val="both"/>
              <w:rPr>
                <w:b/>
                <w:bCs/>
                <w:sz w:val="20"/>
                <w:szCs w:val="20"/>
              </w:rPr>
            </w:pPr>
            <w:r w:rsidRPr="001D522B">
              <w:rPr>
                <w:b/>
                <w:bCs/>
                <w:sz w:val="20"/>
                <w:szCs w:val="20"/>
              </w:rPr>
              <w:t>Number of Shares</w:t>
            </w:r>
          </w:p>
        </w:tc>
        <w:tc>
          <w:tcPr>
            <w:tcW w:w="3249" w:type="dxa"/>
            <w:vAlign w:val="center"/>
          </w:tcPr>
          <w:p w:rsidR="00030318" w:rsidRPr="001D522B" w:rsidRDefault="00030318" w:rsidP="00030318">
            <w:pPr>
              <w:ind w:right="504"/>
              <w:jc w:val="both"/>
              <w:rPr>
                <w:b/>
                <w:bCs/>
                <w:sz w:val="20"/>
                <w:szCs w:val="20"/>
              </w:rPr>
            </w:pPr>
            <w:r w:rsidRPr="001D522B">
              <w:rPr>
                <w:b/>
                <w:bCs/>
                <w:sz w:val="20"/>
                <w:szCs w:val="20"/>
              </w:rPr>
              <w:t>Amount in Rupees</w:t>
            </w:r>
          </w:p>
        </w:tc>
      </w:tr>
      <w:tr w:rsidR="00030318" w:rsidRPr="001D522B" w:rsidTr="00030318">
        <w:trPr>
          <w:trHeight w:val="346"/>
          <w:jc w:val="center"/>
        </w:trPr>
        <w:tc>
          <w:tcPr>
            <w:tcW w:w="1396" w:type="dxa"/>
            <w:vAlign w:val="center"/>
          </w:tcPr>
          <w:p w:rsidR="00030318" w:rsidRPr="001D522B" w:rsidRDefault="00030318" w:rsidP="00030318">
            <w:pPr>
              <w:ind w:right="504"/>
              <w:jc w:val="both"/>
              <w:rPr>
                <w:bCs/>
                <w:sz w:val="20"/>
                <w:szCs w:val="20"/>
              </w:rPr>
            </w:pPr>
            <w:r w:rsidRPr="001D522B">
              <w:rPr>
                <w:bCs/>
                <w:sz w:val="20"/>
                <w:szCs w:val="20"/>
              </w:rPr>
              <w:t>United Bank Limited</w:t>
            </w:r>
          </w:p>
        </w:tc>
        <w:tc>
          <w:tcPr>
            <w:tcW w:w="2700" w:type="dxa"/>
            <w:vAlign w:val="center"/>
          </w:tcPr>
          <w:p w:rsidR="00030318" w:rsidRPr="001D522B" w:rsidRDefault="00030318" w:rsidP="00030318">
            <w:pPr>
              <w:ind w:right="504"/>
              <w:jc w:val="both"/>
              <w:rPr>
                <w:bCs/>
                <w:sz w:val="20"/>
                <w:szCs w:val="20"/>
              </w:rPr>
            </w:pPr>
            <w:r w:rsidRPr="001D522B">
              <w:rPr>
                <w:bCs/>
                <w:sz w:val="20"/>
                <w:szCs w:val="20"/>
              </w:rPr>
              <w:t>32,870,992</w:t>
            </w:r>
          </w:p>
        </w:tc>
        <w:tc>
          <w:tcPr>
            <w:tcW w:w="3249" w:type="dxa"/>
            <w:vAlign w:val="center"/>
          </w:tcPr>
          <w:p w:rsidR="00030318" w:rsidRPr="001D522B" w:rsidRDefault="00030318" w:rsidP="00030318">
            <w:pPr>
              <w:ind w:right="504"/>
              <w:jc w:val="both"/>
              <w:rPr>
                <w:bCs/>
                <w:sz w:val="20"/>
                <w:szCs w:val="20"/>
              </w:rPr>
            </w:pPr>
            <w:r w:rsidRPr="001D522B">
              <w:rPr>
                <w:bCs/>
                <w:sz w:val="20"/>
                <w:szCs w:val="20"/>
              </w:rPr>
              <w:t>328,709,920</w:t>
            </w:r>
          </w:p>
        </w:tc>
      </w:tr>
      <w:tr w:rsidR="00030318" w:rsidRPr="001D522B" w:rsidTr="00030318">
        <w:trPr>
          <w:trHeight w:val="350"/>
          <w:jc w:val="center"/>
        </w:trPr>
        <w:tc>
          <w:tcPr>
            <w:tcW w:w="1396" w:type="dxa"/>
            <w:vAlign w:val="center"/>
          </w:tcPr>
          <w:p w:rsidR="00030318" w:rsidRPr="001D522B" w:rsidRDefault="00030318" w:rsidP="00030318">
            <w:pPr>
              <w:ind w:right="504"/>
              <w:jc w:val="both"/>
              <w:rPr>
                <w:bCs/>
                <w:sz w:val="20"/>
                <w:szCs w:val="20"/>
              </w:rPr>
            </w:pPr>
            <w:r>
              <w:rPr>
                <w:color w:val="000000"/>
                <w:sz w:val="20"/>
                <w:szCs w:val="20"/>
                <w:shd w:val="clear" w:color="auto" w:fill="FFFFFF"/>
              </w:rPr>
              <w:t>Non-Executive Directors</w:t>
            </w:r>
          </w:p>
        </w:tc>
        <w:tc>
          <w:tcPr>
            <w:tcW w:w="2700" w:type="dxa"/>
            <w:vAlign w:val="center"/>
          </w:tcPr>
          <w:p w:rsidR="00030318" w:rsidRPr="001D522B" w:rsidRDefault="00030318" w:rsidP="00030318">
            <w:pPr>
              <w:ind w:right="504"/>
              <w:jc w:val="both"/>
              <w:rPr>
                <w:bCs/>
                <w:sz w:val="20"/>
                <w:szCs w:val="20"/>
              </w:rPr>
            </w:pPr>
            <w:r>
              <w:rPr>
                <w:bCs/>
                <w:sz w:val="20"/>
                <w:szCs w:val="20"/>
              </w:rPr>
              <w:t>4</w:t>
            </w:r>
          </w:p>
        </w:tc>
        <w:tc>
          <w:tcPr>
            <w:tcW w:w="3249" w:type="dxa"/>
            <w:vAlign w:val="center"/>
          </w:tcPr>
          <w:p w:rsidR="00030318" w:rsidRPr="001D522B" w:rsidRDefault="00030318" w:rsidP="00030318">
            <w:pPr>
              <w:ind w:right="504"/>
              <w:jc w:val="both"/>
              <w:rPr>
                <w:bCs/>
                <w:sz w:val="20"/>
                <w:szCs w:val="20"/>
              </w:rPr>
            </w:pPr>
            <w:r>
              <w:rPr>
                <w:bCs/>
                <w:sz w:val="20"/>
                <w:szCs w:val="20"/>
              </w:rPr>
              <w:t>40</w:t>
            </w:r>
          </w:p>
        </w:tc>
      </w:tr>
      <w:tr w:rsidR="00030318" w:rsidRPr="001D522B" w:rsidTr="00030318">
        <w:trPr>
          <w:trHeight w:val="346"/>
          <w:jc w:val="center"/>
        </w:trPr>
        <w:tc>
          <w:tcPr>
            <w:tcW w:w="1396" w:type="dxa"/>
            <w:tcBorders>
              <w:bottom w:val="single" w:sz="4" w:space="0" w:color="auto"/>
            </w:tcBorders>
            <w:vAlign w:val="center"/>
          </w:tcPr>
          <w:p w:rsidR="00030318" w:rsidRPr="001D522B" w:rsidRDefault="00030318" w:rsidP="00030318">
            <w:pPr>
              <w:ind w:right="504"/>
              <w:jc w:val="both"/>
              <w:rPr>
                <w:bCs/>
                <w:sz w:val="20"/>
                <w:szCs w:val="20"/>
              </w:rPr>
            </w:pPr>
            <w:r w:rsidRPr="001D522B">
              <w:rPr>
                <w:bCs/>
                <w:sz w:val="20"/>
                <w:szCs w:val="20"/>
              </w:rPr>
              <w:t>Total</w:t>
            </w:r>
          </w:p>
        </w:tc>
        <w:tc>
          <w:tcPr>
            <w:tcW w:w="2700" w:type="dxa"/>
            <w:tcBorders>
              <w:bottom w:val="single" w:sz="4" w:space="0" w:color="auto"/>
            </w:tcBorders>
            <w:vAlign w:val="center"/>
          </w:tcPr>
          <w:p w:rsidR="00030318" w:rsidRPr="001D522B" w:rsidRDefault="00030318" w:rsidP="00030318">
            <w:pPr>
              <w:ind w:right="504"/>
              <w:jc w:val="both"/>
              <w:rPr>
                <w:bCs/>
                <w:sz w:val="20"/>
                <w:szCs w:val="20"/>
              </w:rPr>
            </w:pPr>
            <w:r>
              <w:rPr>
                <w:color w:val="000000"/>
                <w:sz w:val="20"/>
                <w:szCs w:val="20"/>
                <w:shd w:val="clear" w:color="auto" w:fill="FFFFFF"/>
              </w:rPr>
              <w:t>32,870,996</w:t>
            </w:r>
          </w:p>
        </w:tc>
        <w:tc>
          <w:tcPr>
            <w:tcW w:w="3249" w:type="dxa"/>
            <w:tcBorders>
              <w:bottom w:val="single" w:sz="4" w:space="0" w:color="auto"/>
            </w:tcBorders>
            <w:vAlign w:val="center"/>
          </w:tcPr>
          <w:p w:rsidR="00030318" w:rsidRPr="001D522B" w:rsidRDefault="00030318" w:rsidP="00030318">
            <w:pPr>
              <w:ind w:right="504"/>
              <w:jc w:val="both"/>
              <w:rPr>
                <w:bCs/>
                <w:sz w:val="20"/>
                <w:szCs w:val="20"/>
              </w:rPr>
            </w:pPr>
            <w:r>
              <w:rPr>
                <w:color w:val="000000"/>
                <w:sz w:val="20"/>
                <w:szCs w:val="20"/>
                <w:shd w:val="clear" w:color="auto" w:fill="FFFFFF"/>
              </w:rPr>
              <w:t>328,709,960</w:t>
            </w:r>
          </w:p>
        </w:tc>
      </w:tr>
    </w:tbl>
    <w:p w:rsidR="00F810B4" w:rsidRDefault="00F810B4" w:rsidP="00F810B4">
      <w:pPr>
        <w:pStyle w:val="BodyText"/>
        <w:spacing w:before="11"/>
        <w:rPr>
          <w:b/>
          <w:i/>
          <w:sz w:val="27"/>
        </w:rPr>
      </w:pPr>
    </w:p>
    <w:p w:rsidR="00030318" w:rsidRDefault="00030318" w:rsidP="00F810B4">
      <w:pPr>
        <w:pStyle w:val="BodyText"/>
        <w:spacing w:before="11"/>
        <w:rPr>
          <w:b/>
          <w:i/>
          <w:sz w:val="27"/>
        </w:rPr>
      </w:pPr>
    </w:p>
    <w:p w:rsidR="00030318" w:rsidRDefault="00030318" w:rsidP="00F810B4">
      <w:pPr>
        <w:pStyle w:val="BodyText"/>
        <w:spacing w:before="11"/>
        <w:rPr>
          <w:b/>
          <w:i/>
          <w:sz w:val="27"/>
        </w:rPr>
      </w:pPr>
    </w:p>
    <w:p w:rsidR="00030318" w:rsidRDefault="00030318" w:rsidP="00F810B4">
      <w:pPr>
        <w:pStyle w:val="BodyText"/>
        <w:spacing w:before="11"/>
        <w:rPr>
          <w:b/>
          <w:i/>
          <w:sz w:val="27"/>
        </w:rPr>
      </w:pPr>
    </w:p>
    <w:p w:rsidR="00030318" w:rsidRDefault="00030318" w:rsidP="00F810B4">
      <w:pPr>
        <w:pStyle w:val="BodyText"/>
        <w:spacing w:before="11"/>
        <w:rPr>
          <w:b/>
          <w:i/>
          <w:sz w:val="27"/>
        </w:rPr>
      </w:pPr>
    </w:p>
    <w:p w:rsidR="00030318" w:rsidRDefault="00030318" w:rsidP="00F810B4">
      <w:pPr>
        <w:pStyle w:val="BodyText"/>
        <w:spacing w:before="11"/>
        <w:rPr>
          <w:b/>
          <w:i/>
          <w:sz w:val="27"/>
        </w:rPr>
      </w:pPr>
    </w:p>
    <w:p w:rsidR="00030318" w:rsidRDefault="00030318" w:rsidP="00F810B4">
      <w:pPr>
        <w:pStyle w:val="BodyText"/>
        <w:spacing w:before="11"/>
        <w:rPr>
          <w:b/>
          <w:i/>
          <w:sz w:val="27"/>
        </w:rPr>
      </w:pPr>
    </w:p>
    <w:p w:rsidR="00030318" w:rsidRDefault="00030318" w:rsidP="00F810B4">
      <w:pPr>
        <w:pStyle w:val="BodyText"/>
        <w:spacing w:before="11"/>
        <w:rPr>
          <w:b/>
          <w:i/>
          <w:sz w:val="27"/>
        </w:rPr>
      </w:pPr>
    </w:p>
    <w:p w:rsidR="00F810B4" w:rsidRDefault="00F810B4" w:rsidP="00F810B4">
      <w:pPr>
        <w:pStyle w:val="BodyText"/>
        <w:spacing w:before="11"/>
        <w:rPr>
          <w:b/>
          <w:i/>
          <w:sz w:val="27"/>
        </w:rPr>
      </w:pPr>
    </w:p>
    <w:p w:rsidR="00F810B4" w:rsidRDefault="00F810B4" w:rsidP="00FC67D4">
      <w:pPr>
        <w:pStyle w:val="ListParagraph"/>
        <w:numPr>
          <w:ilvl w:val="1"/>
          <w:numId w:val="54"/>
        </w:numPr>
        <w:tabs>
          <w:tab w:val="left" w:pos="2101"/>
          <w:tab w:val="left" w:pos="2102"/>
        </w:tabs>
        <w:ind w:left="2102" w:hanging="1352"/>
        <w:rPr>
          <w:b/>
          <w:i/>
          <w:sz w:val="20"/>
        </w:rPr>
      </w:pPr>
      <w:r>
        <w:rPr>
          <w:b/>
          <w:i/>
        </w:rPr>
        <w:t>Board of Directors of the Management</w:t>
      </w:r>
      <w:r>
        <w:rPr>
          <w:b/>
          <w:i/>
          <w:spacing w:val="-10"/>
        </w:rPr>
        <w:t xml:space="preserve"> </w:t>
      </w:r>
      <w:r>
        <w:rPr>
          <w:b/>
          <w:i/>
        </w:rPr>
        <w:t>Company</w:t>
      </w:r>
    </w:p>
    <w:p w:rsidR="00F810B4" w:rsidRDefault="00F810B4" w:rsidP="00F810B4">
      <w:pPr>
        <w:pStyle w:val="BodyText"/>
        <w:spacing w:before="6"/>
        <w:rPr>
          <w:b/>
          <w:i/>
          <w:sz w:val="29"/>
        </w:rPr>
      </w:pPr>
    </w:p>
    <w:tbl>
      <w:tblPr>
        <w:tblW w:w="5000" w:type="pct"/>
        <w:tblLayout w:type="fixed"/>
        <w:tblLook w:val="04A0" w:firstRow="1" w:lastRow="0" w:firstColumn="1" w:lastColumn="0" w:noHBand="0" w:noVBand="1"/>
      </w:tblPr>
      <w:tblGrid>
        <w:gridCol w:w="1783"/>
        <w:gridCol w:w="3869"/>
        <w:gridCol w:w="3788"/>
        <w:gridCol w:w="1476"/>
      </w:tblGrid>
      <w:tr w:rsidR="00030318" w:rsidRPr="00586C1D" w:rsidTr="00030318">
        <w:trPr>
          <w:trHeight w:val="300"/>
        </w:trPr>
        <w:tc>
          <w:tcPr>
            <w:tcW w:w="817" w:type="pct"/>
            <w:tcBorders>
              <w:top w:val="single" w:sz="4" w:space="0" w:color="000000"/>
              <w:left w:val="single" w:sz="4" w:space="0" w:color="000000"/>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Name</w:t>
            </w:r>
          </w:p>
        </w:tc>
        <w:tc>
          <w:tcPr>
            <w:tcW w:w="1772" w:type="pct"/>
            <w:tcBorders>
              <w:top w:val="single" w:sz="4" w:space="0" w:color="000000"/>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Residential Address</w:t>
            </w:r>
          </w:p>
        </w:tc>
        <w:tc>
          <w:tcPr>
            <w:tcW w:w="1735" w:type="pct"/>
            <w:tcBorders>
              <w:top w:val="single" w:sz="4" w:space="0" w:color="000000"/>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Common Directorship</w:t>
            </w:r>
          </w:p>
        </w:tc>
        <w:tc>
          <w:tcPr>
            <w:tcW w:w="676" w:type="pct"/>
            <w:tcBorders>
              <w:top w:val="single" w:sz="4" w:space="0" w:color="000000"/>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Occupation</w:t>
            </w:r>
          </w:p>
        </w:tc>
      </w:tr>
      <w:tr w:rsidR="00030318" w:rsidRPr="00586C1D" w:rsidTr="00030318">
        <w:trPr>
          <w:trHeight w:val="3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Mr. Azhar Hamid</w:t>
            </w:r>
          </w:p>
        </w:tc>
        <w:tc>
          <w:tcPr>
            <w:tcW w:w="1772" w:type="pct"/>
            <w:tcBorders>
              <w:top w:val="nil"/>
              <w:left w:val="nil"/>
              <w:bottom w:val="single" w:sz="4" w:space="0" w:color="auto"/>
              <w:right w:val="single" w:sz="4" w:space="0" w:color="auto"/>
            </w:tcBorders>
            <w:shd w:val="clear" w:color="000000" w:fill="FFFFFF"/>
            <w:noWrap/>
            <w:vAlign w:val="center"/>
            <w:hideMark/>
          </w:tcPr>
          <w:p w:rsidR="00030318" w:rsidRPr="00586C1D" w:rsidRDefault="00173787" w:rsidP="00030318">
            <w:pPr>
              <w:widowControl/>
              <w:autoSpaceDE/>
              <w:autoSpaceDN/>
              <w:rPr>
                <w:rFonts w:ascii="Calibri" w:eastAsia="Times New Roman" w:hAnsi="Calibri" w:cs="Calibri"/>
                <w:color w:val="000000"/>
                <w:lang w:bidi="ar-SA"/>
              </w:rPr>
            </w:pPr>
            <w:hyperlink r:id="rId13" w:tgtFrame="_blank" w:history="1">
              <w:r w:rsidR="00030318" w:rsidRPr="00586C1D">
                <w:rPr>
                  <w:rFonts w:ascii="Calibri" w:eastAsia="Times New Roman" w:hAnsi="Calibri" w:cs="Calibri"/>
                  <w:color w:val="000000"/>
                  <w:lang w:bidi="ar-SA"/>
                </w:rPr>
                <w:t xml:space="preserve">House No, 44, </w:t>
              </w:r>
              <w:proofErr w:type="spellStart"/>
              <w:r w:rsidR="00030318" w:rsidRPr="00586C1D">
                <w:rPr>
                  <w:rFonts w:ascii="Calibri" w:eastAsia="Times New Roman" w:hAnsi="Calibri" w:cs="Calibri"/>
                  <w:color w:val="000000"/>
                  <w:lang w:bidi="ar-SA"/>
                </w:rPr>
                <w:t>Khayaban</w:t>
              </w:r>
              <w:proofErr w:type="spellEnd"/>
              <w:r w:rsidR="00030318" w:rsidRPr="00586C1D">
                <w:rPr>
                  <w:rFonts w:ascii="Calibri" w:eastAsia="Times New Roman" w:hAnsi="Calibri" w:cs="Calibri"/>
                  <w:color w:val="000000"/>
                  <w:lang w:bidi="ar-SA"/>
                </w:rPr>
                <w:t>-e-Ghazi, Phase V, DHA, Karachi</w:t>
              </w:r>
            </w:hyperlink>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Al Baraka Bank (Pakistan) Limited</w:t>
            </w:r>
          </w:p>
        </w:tc>
        <w:tc>
          <w:tcPr>
            <w:tcW w:w="676"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30318" w:rsidRPr="00586C1D" w:rsidTr="00030318">
        <w:trPr>
          <w:trHeight w:val="300"/>
        </w:trPr>
        <w:tc>
          <w:tcPr>
            <w:tcW w:w="81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Mr. Yasir Qadri</w:t>
            </w:r>
          </w:p>
        </w:tc>
        <w:tc>
          <w:tcPr>
            <w:tcW w:w="177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House # 12/2, </w:t>
            </w:r>
            <w:proofErr w:type="spellStart"/>
            <w:r w:rsidRPr="00586C1D">
              <w:rPr>
                <w:rFonts w:ascii="Calibri" w:eastAsia="Times New Roman" w:hAnsi="Calibri" w:cs="Calibri"/>
                <w:color w:val="000000"/>
                <w:lang w:bidi="ar-SA"/>
              </w:rPr>
              <w:t>Gizri</w:t>
            </w:r>
            <w:proofErr w:type="spellEnd"/>
            <w:r w:rsidRPr="00586C1D">
              <w:rPr>
                <w:rFonts w:ascii="Calibri" w:eastAsia="Times New Roman" w:hAnsi="Calibri" w:cs="Calibri"/>
                <w:color w:val="000000"/>
                <w:lang w:bidi="ar-SA"/>
              </w:rPr>
              <w:t xml:space="preserve"> Avenue, DHA, Phase 4, Karachi</w:t>
            </w: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1. Al Ameen Islamic Financial Services Limited</w:t>
            </w:r>
          </w:p>
        </w:tc>
        <w:tc>
          <w:tcPr>
            <w:tcW w:w="6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Business Executive, CEO</w:t>
            </w:r>
          </w:p>
        </w:tc>
      </w:tr>
      <w:tr w:rsidR="00030318" w:rsidRPr="00586C1D" w:rsidTr="00030318">
        <w:trPr>
          <w:trHeight w:val="3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2. Mutual Funds Association Of Pakistan</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300"/>
        </w:trPr>
        <w:tc>
          <w:tcPr>
            <w:tcW w:w="81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Ms. Naz Khan</w:t>
            </w:r>
          </w:p>
        </w:tc>
        <w:tc>
          <w:tcPr>
            <w:tcW w:w="177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House No, 58/1, Street 5, Phase V, DHA, Karachi</w:t>
            </w: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1. X-Petroleum Limited </w:t>
            </w:r>
          </w:p>
        </w:tc>
        <w:tc>
          <w:tcPr>
            <w:tcW w:w="6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Business Executive, CEO</w:t>
            </w:r>
          </w:p>
        </w:tc>
      </w:tr>
      <w:tr w:rsidR="00030318" w:rsidRPr="00586C1D" w:rsidTr="00030318">
        <w:trPr>
          <w:trHeight w:val="3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2. X-Co Partners (Pvt) Limited </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3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3. Shell Pakistan Limited</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3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4. Pakistan Stock Exchange Limited</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3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5. IGI Life Insurance Limited</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6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6. Pakistan Human Development Fund ( Member of Investment Committee)</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3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Syed </w:t>
            </w:r>
            <w:proofErr w:type="spellStart"/>
            <w:r w:rsidRPr="00586C1D">
              <w:rPr>
                <w:rFonts w:ascii="Calibri" w:eastAsia="Times New Roman" w:hAnsi="Calibri" w:cs="Calibri"/>
                <w:color w:val="000000"/>
                <w:lang w:bidi="ar-SA"/>
              </w:rPr>
              <w:t>Furrukh</w:t>
            </w:r>
            <w:proofErr w:type="spellEnd"/>
            <w:r w:rsidRPr="00586C1D">
              <w:rPr>
                <w:rFonts w:ascii="Calibri" w:eastAsia="Times New Roman" w:hAnsi="Calibri" w:cs="Calibri"/>
                <w:color w:val="000000"/>
                <w:lang w:bidi="ar-SA"/>
              </w:rPr>
              <w:t xml:space="preserve"> Zaeem  </w:t>
            </w:r>
          </w:p>
        </w:tc>
        <w:tc>
          <w:tcPr>
            <w:tcW w:w="1772" w:type="pct"/>
            <w:tcBorders>
              <w:top w:val="nil"/>
              <w:left w:val="nil"/>
              <w:bottom w:val="single" w:sz="4" w:space="0" w:color="auto"/>
              <w:right w:val="single" w:sz="4" w:space="0" w:color="auto"/>
            </w:tcBorders>
            <w:shd w:val="clear" w:color="000000" w:fill="FFFFFF"/>
            <w:noWrap/>
            <w:vAlign w:val="center"/>
            <w:hideMark/>
          </w:tcPr>
          <w:p w:rsidR="00030318" w:rsidRPr="00586C1D" w:rsidRDefault="00173787" w:rsidP="00030318">
            <w:pPr>
              <w:widowControl/>
              <w:autoSpaceDE/>
              <w:autoSpaceDN/>
              <w:rPr>
                <w:rFonts w:ascii="Calibri" w:eastAsia="Times New Roman" w:hAnsi="Calibri" w:cs="Calibri"/>
                <w:color w:val="000000"/>
                <w:lang w:bidi="ar-SA"/>
              </w:rPr>
            </w:pPr>
            <w:hyperlink r:id="rId14" w:tgtFrame="_blank" w:history="1">
              <w:r w:rsidR="00030318" w:rsidRPr="00586C1D">
                <w:rPr>
                  <w:rFonts w:ascii="Calibri" w:eastAsia="Times New Roman" w:hAnsi="Calibri" w:cs="Calibri"/>
                  <w:color w:val="000000"/>
                  <w:lang w:bidi="ar-SA"/>
                </w:rPr>
                <w:t xml:space="preserve">124/11 </w:t>
              </w:r>
              <w:proofErr w:type="spellStart"/>
              <w:r w:rsidR="00030318" w:rsidRPr="00586C1D">
                <w:rPr>
                  <w:rFonts w:ascii="Calibri" w:eastAsia="Times New Roman" w:hAnsi="Calibri" w:cs="Calibri"/>
                  <w:color w:val="000000"/>
                  <w:lang w:bidi="ar-SA"/>
                </w:rPr>
                <w:t>Khayaban</w:t>
              </w:r>
              <w:proofErr w:type="spellEnd"/>
              <w:r w:rsidR="00030318" w:rsidRPr="00586C1D">
                <w:rPr>
                  <w:rFonts w:ascii="Calibri" w:eastAsia="Times New Roman" w:hAnsi="Calibri" w:cs="Calibri"/>
                  <w:color w:val="000000"/>
                  <w:lang w:bidi="ar-SA"/>
                </w:rPr>
                <w:t>-e-</w:t>
              </w:r>
              <w:proofErr w:type="spellStart"/>
              <w:r w:rsidR="00030318" w:rsidRPr="00586C1D">
                <w:rPr>
                  <w:rFonts w:ascii="Calibri" w:eastAsia="Times New Roman" w:hAnsi="Calibri" w:cs="Calibri"/>
                  <w:color w:val="000000"/>
                  <w:lang w:bidi="ar-SA"/>
                </w:rPr>
                <w:t>Hilal</w:t>
              </w:r>
              <w:proofErr w:type="spellEnd"/>
              <w:r w:rsidR="00030318" w:rsidRPr="00586C1D">
                <w:rPr>
                  <w:rFonts w:ascii="Calibri" w:eastAsia="Times New Roman" w:hAnsi="Calibri" w:cs="Calibri"/>
                  <w:color w:val="000000"/>
                  <w:lang w:bidi="ar-SA"/>
                </w:rPr>
                <w:t>, Phase 6, D.H.A., Karachi</w:t>
              </w:r>
            </w:hyperlink>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UBL Insurers Limited </w:t>
            </w:r>
          </w:p>
        </w:tc>
        <w:tc>
          <w:tcPr>
            <w:tcW w:w="676"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30318" w:rsidRPr="00586C1D" w:rsidTr="00030318">
        <w:trPr>
          <w:trHeight w:val="300"/>
        </w:trPr>
        <w:tc>
          <w:tcPr>
            <w:tcW w:w="81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Mr. Imran Sarwar</w:t>
            </w:r>
          </w:p>
        </w:tc>
        <w:tc>
          <w:tcPr>
            <w:tcW w:w="1772"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House 88/1, 10th Street Off, </w:t>
            </w:r>
            <w:proofErr w:type="spellStart"/>
            <w:r w:rsidRPr="00586C1D">
              <w:rPr>
                <w:rFonts w:ascii="Calibri" w:eastAsia="Times New Roman" w:hAnsi="Calibri" w:cs="Calibri"/>
                <w:color w:val="000000"/>
                <w:lang w:bidi="ar-SA"/>
              </w:rPr>
              <w:t>Khayaban</w:t>
            </w:r>
            <w:proofErr w:type="spellEnd"/>
            <w:r w:rsidRPr="00586C1D">
              <w:rPr>
                <w:rFonts w:ascii="Calibri" w:eastAsia="Times New Roman" w:hAnsi="Calibri" w:cs="Calibri"/>
                <w:color w:val="000000"/>
                <w:lang w:bidi="ar-SA"/>
              </w:rPr>
              <w:t>-e-</w:t>
            </w:r>
            <w:proofErr w:type="spellStart"/>
            <w:r w:rsidRPr="00586C1D">
              <w:rPr>
                <w:rFonts w:ascii="Calibri" w:eastAsia="Times New Roman" w:hAnsi="Calibri" w:cs="Calibri"/>
                <w:color w:val="000000"/>
                <w:lang w:bidi="ar-SA"/>
              </w:rPr>
              <w:t>Rahat</w:t>
            </w:r>
            <w:proofErr w:type="spellEnd"/>
            <w:r w:rsidRPr="00586C1D">
              <w:rPr>
                <w:rFonts w:ascii="Calibri" w:eastAsia="Times New Roman" w:hAnsi="Calibri" w:cs="Calibri"/>
                <w:color w:val="000000"/>
                <w:lang w:bidi="ar-SA"/>
              </w:rPr>
              <w:t>, DHA, Phase – 6, Karachi</w:t>
            </w: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1- Pakistan Mortgage Refinance Company Limited</w:t>
            </w:r>
          </w:p>
        </w:tc>
        <w:tc>
          <w:tcPr>
            <w:tcW w:w="6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30318" w:rsidRPr="00586C1D" w:rsidTr="00030318">
        <w:trPr>
          <w:trHeight w:val="300"/>
        </w:trPr>
        <w:tc>
          <w:tcPr>
            <w:tcW w:w="817"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2- UBL Bank (Tanzania) Limited</w:t>
            </w:r>
          </w:p>
        </w:tc>
        <w:tc>
          <w:tcPr>
            <w:tcW w:w="676" w:type="pct"/>
            <w:vMerge/>
            <w:tcBorders>
              <w:top w:val="nil"/>
              <w:left w:val="single" w:sz="4" w:space="0" w:color="auto"/>
              <w:bottom w:val="single" w:sz="4" w:space="0" w:color="000000"/>
              <w:right w:val="single" w:sz="4" w:space="0" w:color="auto"/>
            </w:tcBorders>
            <w:vAlign w:val="center"/>
            <w:hideMark/>
          </w:tcPr>
          <w:p w:rsidR="00030318" w:rsidRPr="00586C1D" w:rsidRDefault="00030318" w:rsidP="00030318">
            <w:pPr>
              <w:widowControl/>
              <w:autoSpaceDE/>
              <w:autoSpaceDN/>
              <w:rPr>
                <w:rFonts w:ascii="Calibri" w:eastAsia="Times New Roman" w:hAnsi="Calibri" w:cs="Calibri"/>
                <w:color w:val="000000"/>
                <w:lang w:bidi="ar-SA"/>
              </w:rPr>
            </w:pPr>
          </w:p>
        </w:tc>
      </w:tr>
      <w:tr w:rsidR="00030318" w:rsidRPr="00586C1D" w:rsidTr="00030318">
        <w:trPr>
          <w:trHeight w:val="3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Ms. Sadia Saeed</w:t>
            </w:r>
          </w:p>
        </w:tc>
        <w:tc>
          <w:tcPr>
            <w:tcW w:w="1772" w:type="pct"/>
            <w:tcBorders>
              <w:top w:val="nil"/>
              <w:left w:val="nil"/>
              <w:bottom w:val="single" w:sz="4" w:space="0" w:color="auto"/>
              <w:right w:val="single" w:sz="4" w:space="0" w:color="auto"/>
            </w:tcBorders>
            <w:shd w:val="clear" w:color="000000" w:fill="FFFFFF"/>
            <w:vAlign w:val="center"/>
            <w:hideMark/>
          </w:tcPr>
          <w:p w:rsidR="00030318" w:rsidRPr="00586C1D" w:rsidRDefault="00173787" w:rsidP="00030318">
            <w:pPr>
              <w:widowControl/>
              <w:autoSpaceDE/>
              <w:autoSpaceDN/>
              <w:rPr>
                <w:rFonts w:ascii="Calibri" w:eastAsia="Times New Roman" w:hAnsi="Calibri" w:cs="Calibri"/>
                <w:color w:val="000000"/>
                <w:lang w:bidi="ar-SA"/>
              </w:rPr>
            </w:pPr>
            <w:hyperlink r:id="rId15" w:tgtFrame="_blank" w:history="1">
              <w:r w:rsidR="00030318" w:rsidRPr="00586C1D">
                <w:rPr>
                  <w:rFonts w:ascii="Calibri" w:eastAsia="Times New Roman" w:hAnsi="Calibri" w:cs="Calibri"/>
                  <w:color w:val="000000"/>
                  <w:lang w:bidi="ar-SA"/>
                </w:rPr>
                <w:t xml:space="preserve">39/2, 22nd Street, </w:t>
              </w:r>
              <w:proofErr w:type="spellStart"/>
              <w:r w:rsidR="00030318" w:rsidRPr="00586C1D">
                <w:rPr>
                  <w:rFonts w:ascii="Calibri" w:eastAsia="Times New Roman" w:hAnsi="Calibri" w:cs="Calibri"/>
                  <w:color w:val="000000"/>
                  <w:lang w:bidi="ar-SA"/>
                </w:rPr>
                <w:t>Khayaban</w:t>
              </w:r>
              <w:proofErr w:type="spellEnd"/>
              <w:r w:rsidR="00030318" w:rsidRPr="00586C1D">
                <w:rPr>
                  <w:rFonts w:ascii="Calibri" w:eastAsia="Times New Roman" w:hAnsi="Calibri" w:cs="Calibri"/>
                  <w:color w:val="000000"/>
                  <w:lang w:bidi="ar-SA"/>
                </w:rPr>
                <w:t>-e-</w:t>
              </w:r>
              <w:proofErr w:type="spellStart"/>
              <w:r w:rsidR="00030318" w:rsidRPr="00586C1D">
                <w:rPr>
                  <w:rFonts w:ascii="Calibri" w:eastAsia="Times New Roman" w:hAnsi="Calibri" w:cs="Calibri"/>
                  <w:color w:val="000000"/>
                  <w:lang w:bidi="ar-SA"/>
                </w:rPr>
                <w:t>Mujahid</w:t>
              </w:r>
              <w:proofErr w:type="spellEnd"/>
              <w:r w:rsidR="00030318" w:rsidRPr="00586C1D">
                <w:rPr>
                  <w:rFonts w:ascii="Calibri" w:eastAsia="Times New Roman" w:hAnsi="Calibri" w:cs="Calibri"/>
                  <w:color w:val="000000"/>
                  <w:lang w:bidi="ar-SA"/>
                </w:rPr>
                <w:t>, Phase V, DHA, Karachi.</w:t>
              </w:r>
            </w:hyperlink>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None</w:t>
            </w:r>
          </w:p>
        </w:tc>
        <w:tc>
          <w:tcPr>
            <w:tcW w:w="676"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30318" w:rsidRPr="00586C1D" w:rsidTr="00030318">
        <w:trPr>
          <w:trHeight w:val="6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Mr. </w:t>
            </w:r>
            <w:proofErr w:type="spellStart"/>
            <w:r w:rsidRPr="00586C1D">
              <w:rPr>
                <w:rFonts w:ascii="Calibri" w:eastAsia="Times New Roman" w:hAnsi="Calibri" w:cs="Calibri"/>
                <w:color w:val="000000"/>
                <w:lang w:bidi="ar-SA"/>
              </w:rPr>
              <w:t>Tauqeer</w:t>
            </w:r>
            <w:proofErr w:type="spellEnd"/>
            <w:r w:rsidRPr="00586C1D">
              <w:rPr>
                <w:rFonts w:ascii="Calibri" w:eastAsia="Times New Roman" w:hAnsi="Calibri" w:cs="Calibri"/>
                <w:color w:val="000000"/>
                <w:lang w:bidi="ar-SA"/>
              </w:rPr>
              <w:t xml:space="preserve"> </w:t>
            </w:r>
            <w:proofErr w:type="spellStart"/>
            <w:r w:rsidRPr="00586C1D">
              <w:rPr>
                <w:rFonts w:ascii="Calibri" w:eastAsia="Times New Roman" w:hAnsi="Calibri" w:cs="Calibri"/>
                <w:color w:val="000000"/>
                <w:lang w:bidi="ar-SA"/>
              </w:rPr>
              <w:t>Mazhar</w:t>
            </w:r>
            <w:proofErr w:type="spellEnd"/>
          </w:p>
        </w:tc>
        <w:tc>
          <w:tcPr>
            <w:tcW w:w="1772" w:type="pct"/>
            <w:tcBorders>
              <w:top w:val="nil"/>
              <w:left w:val="nil"/>
              <w:bottom w:val="single" w:sz="4" w:space="0" w:color="auto"/>
              <w:right w:val="single" w:sz="4" w:space="0" w:color="auto"/>
            </w:tcBorders>
            <w:shd w:val="clear" w:color="000000" w:fill="FFFFFF"/>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House No. 85/2 , 26th Street, </w:t>
            </w:r>
            <w:proofErr w:type="spellStart"/>
            <w:r w:rsidRPr="00586C1D">
              <w:rPr>
                <w:rFonts w:ascii="Calibri" w:eastAsia="Times New Roman" w:hAnsi="Calibri" w:cs="Calibri"/>
                <w:color w:val="000000"/>
                <w:lang w:bidi="ar-SA"/>
              </w:rPr>
              <w:t>Khayaban</w:t>
            </w:r>
            <w:proofErr w:type="spellEnd"/>
            <w:r w:rsidRPr="00586C1D">
              <w:rPr>
                <w:rFonts w:ascii="Calibri" w:eastAsia="Times New Roman" w:hAnsi="Calibri" w:cs="Calibri"/>
                <w:color w:val="000000"/>
                <w:lang w:bidi="ar-SA"/>
              </w:rPr>
              <w:t>-e-Bukhari, DHA, Phase VI, Karachi</w:t>
            </w:r>
          </w:p>
        </w:tc>
        <w:tc>
          <w:tcPr>
            <w:tcW w:w="1735"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None</w:t>
            </w:r>
          </w:p>
        </w:tc>
        <w:tc>
          <w:tcPr>
            <w:tcW w:w="676" w:type="pct"/>
            <w:tcBorders>
              <w:top w:val="nil"/>
              <w:left w:val="nil"/>
              <w:bottom w:val="single" w:sz="4" w:space="0" w:color="auto"/>
              <w:right w:val="single" w:sz="4" w:space="0" w:color="auto"/>
            </w:tcBorders>
            <w:shd w:val="clear" w:color="000000" w:fill="FFFFFF"/>
            <w:noWrap/>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bl>
    <w:p w:rsidR="00F810B4" w:rsidRDefault="00F810B4" w:rsidP="00F810B4">
      <w:pPr>
        <w:spacing w:line="276" w:lineRule="auto"/>
        <w:jc w:val="center"/>
        <w:rPr>
          <w:sz w:val="20"/>
        </w:rPr>
      </w:pPr>
    </w:p>
    <w:p w:rsidR="00F810B4" w:rsidRDefault="00F810B4" w:rsidP="00F810B4">
      <w:pPr>
        <w:spacing w:line="276" w:lineRule="auto"/>
        <w:rPr>
          <w:sz w:val="20"/>
        </w:rPr>
      </w:pPr>
    </w:p>
    <w:p w:rsidR="00030318" w:rsidRPr="001D522B" w:rsidRDefault="00030318" w:rsidP="00030318">
      <w:pPr>
        <w:pStyle w:val="BodyText"/>
        <w:ind w:left="720"/>
        <w:rPr>
          <w:b/>
          <w:szCs w:val="22"/>
        </w:rPr>
      </w:pPr>
      <w:r w:rsidRPr="001D522B">
        <w:rPr>
          <w:b/>
          <w:szCs w:val="22"/>
        </w:rPr>
        <w:t>Mr. Azhar Hamid</w:t>
      </w:r>
    </w:p>
    <w:p w:rsidR="00030318" w:rsidRPr="001D522B" w:rsidRDefault="00030318" w:rsidP="00030318">
      <w:pPr>
        <w:pStyle w:val="BodyText"/>
        <w:ind w:left="720" w:right="180"/>
        <w:rPr>
          <w:b/>
          <w:szCs w:val="22"/>
        </w:rPr>
      </w:pPr>
    </w:p>
    <w:p w:rsidR="00030318" w:rsidRPr="001D522B" w:rsidRDefault="00030318" w:rsidP="00030318">
      <w:pPr>
        <w:pStyle w:val="BodyText"/>
        <w:ind w:left="720" w:right="180"/>
        <w:jc w:val="both"/>
        <w:rPr>
          <w:szCs w:val="22"/>
        </w:rPr>
      </w:pPr>
      <w:r w:rsidRPr="001D522B">
        <w:rPr>
          <w:szCs w:val="22"/>
        </w:rPr>
        <w:t xml:space="preserve">Mr. Azhar Hamid is an international banker with a career spanning over 41 years with </w:t>
      </w:r>
      <w:proofErr w:type="spellStart"/>
      <w:r w:rsidRPr="001D522B">
        <w:rPr>
          <w:szCs w:val="22"/>
        </w:rPr>
        <w:t>Grindlays</w:t>
      </w:r>
      <w:proofErr w:type="spellEnd"/>
      <w:r w:rsidRPr="001D522B">
        <w:rPr>
          <w:szCs w:val="22"/>
        </w:rPr>
        <w:t xml:space="preserve"> Bank, ANZ Bank and latterly Standard Chartered Bank. He was appointed as the first Pakistani Country Head of ANZ </w:t>
      </w:r>
      <w:proofErr w:type="spellStart"/>
      <w:r w:rsidRPr="001D522B">
        <w:rPr>
          <w:szCs w:val="22"/>
        </w:rPr>
        <w:t>Grindlays</w:t>
      </w:r>
      <w:proofErr w:type="spellEnd"/>
      <w:r w:rsidRPr="001D522B">
        <w:rPr>
          <w:szCs w:val="22"/>
        </w:rPr>
        <w:t xml:space="preserve"> Bank in Pakistan in 1994. After acquisition of the Bank in 2000 by Standard Chartered Bank, was asked to continue as the Country Head of the combined bank, Retired in 2003.After introduction of a </w:t>
      </w:r>
      <w:proofErr w:type="spellStart"/>
      <w:r w:rsidRPr="001D522B">
        <w:rPr>
          <w:szCs w:val="22"/>
        </w:rPr>
        <w:t>Riba</w:t>
      </w:r>
      <w:proofErr w:type="spellEnd"/>
      <w:r w:rsidRPr="001D522B">
        <w:rPr>
          <w:szCs w:val="22"/>
        </w:rPr>
        <w:t xml:space="preserve"> free financial system in Pakistan in 1985, he led the team that established the First </w:t>
      </w:r>
      <w:proofErr w:type="spellStart"/>
      <w:r w:rsidRPr="001D522B">
        <w:rPr>
          <w:szCs w:val="22"/>
        </w:rPr>
        <w:t>Grindlays</w:t>
      </w:r>
      <w:proofErr w:type="spellEnd"/>
      <w:r w:rsidRPr="001D522B">
        <w:rPr>
          <w:szCs w:val="22"/>
        </w:rPr>
        <w:t xml:space="preserve"> </w:t>
      </w:r>
      <w:proofErr w:type="spellStart"/>
      <w:r w:rsidRPr="001D522B">
        <w:rPr>
          <w:szCs w:val="22"/>
        </w:rPr>
        <w:t>Modaraba</w:t>
      </w:r>
      <w:proofErr w:type="spellEnd"/>
      <w:r w:rsidRPr="001D522B">
        <w:rPr>
          <w:szCs w:val="22"/>
        </w:rPr>
        <w:t xml:space="preserve"> which became the most successful and dominant modaraba company in the Country.</w:t>
      </w:r>
    </w:p>
    <w:p w:rsidR="00030318" w:rsidRPr="001D522B" w:rsidRDefault="00030318" w:rsidP="00030318">
      <w:pPr>
        <w:pStyle w:val="BodyText"/>
        <w:ind w:left="720" w:right="180"/>
        <w:jc w:val="both"/>
        <w:rPr>
          <w:szCs w:val="22"/>
        </w:rPr>
      </w:pPr>
      <w:r w:rsidRPr="001D522B">
        <w:rPr>
          <w:szCs w:val="22"/>
        </w:rPr>
        <w:t xml:space="preserve">Senior overseas assignments with ANZ Bank include UK, Bahrain, Jordan, and Australia. He has served on the board of </w:t>
      </w:r>
      <w:proofErr w:type="spellStart"/>
      <w:r w:rsidRPr="001D522B">
        <w:rPr>
          <w:szCs w:val="22"/>
        </w:rPr>
        <w:t>Grindlays</w:t>
      </w:r>
      <w:proofErr w:type="spellEnd"/>
      <w:r w:rsidRPr="001D522B">
        <w:rPr>
          <w:szCs w:val="22"/>
        </w:rPr>
        <w:t xml:space="preserve"> Bahrain Bank in Bahrain.</w:t>
      </w:r>
    </w:p>
    <w:p w:rsidR="00030318" w:rsidRPr="001D522B" w:rsidRDefault="00030318" w:rsidP="00030318">
      <w:pPr>
        <w:pStyle w:val="BodyText"/>
        <w:ind w:left="720" w:right="180"/>
        <w:jc w:val="both"/>
        <w:rPr>
          <w:szCs w:val="22"/>
        </w:rPr>
      </w:pPr>
      <w:r w:rsidRPr="001D522B">
        <w:rPr>
          <w:szCs w:val="22"/>
        </w:rPr>
        <w:t xml:space="preserve">Upon retirement in 2003 served as Director Main Board of the State Bank of Pakistan which position he relinquished when asked by the Government to establish a Banking </w:t>
      </w:r>
      <w:proofErr w:type="spellStart"/>
      <w:r w:rsidRPr="001D522B">
        <w:rPr>
          <w:szCs w:val="22"/>
        </w:rPr>
        <w:t>Mohtasib</w:t>
      </w:r>
      <w:proofErr w:type="spellEnd"/>
      <w:r w:rsidRPr="001D522B">
        <w:rPr>
          <w:szCs w:val="22"/>
        </w:rPr>
        <w:t xml:space="preserve"> (Ombudsman) function in the Country. He was thus the first Banking </w:t>
      </w:r>
      <w:proofErr w:type="spellStart"/>
      <w:r w:rsidRPr="001D522B">
        <w:rPr>
          <w:szCs w:val="22"/>
        </w:rPr>
        <w:t>Mohtasib</w:t>
      </w:r>
      <w:proofErr w:type="spellEnd"/>
      <w:r w:rsidRPr="001D522B">
        <w:rPr>
          <w:szCs w:val="22"/>
        </w:rPr>
        <w:t xml:space="preserve"> (Ombudsman) in Pakistan and completed his 3 years term in May 2008.</w:t>
      </w:r>
    </w:p>
    <w:p w:rsidR="00030318" w:rsidRPr="001D522B" w:rsidRDefault="00030318" w:rsidP="00030318">
      <w:pPr>
        <w:pStyle w:val="BodyText"/>
        <w:ind w:left="720" w:right="180"/>
        <w:jc w:val="both"/>
        <w:rPr>
          <w:szCs w:val="22"/>
        </w:rPr>
      </w:pPr>
      <w:r w:rsidRPr="001D522B">
        <w:rPr>
          <w:szCs w:val="22"/>
        </w:rPr>
        <w:t>He has served as Director on the Board of the Bank of Punjab the position which he relinquished in September 2009 and served on the Board of Burj Bank for 3 years up to end 2015.</w:t>
      </w:r>
    </w:p>
    <w:p w:rsidR="00030318" w:rsidRPr="001D522B" w:rsidRDefault="00030318" w:rsidP="00030318">
      <w:pPr>
        <w:pStyle w:val="BodyText"/>
        <w:ind w:left="720" w:right="180"/>
        <w:jc w:val="both"/>
        <w:rPr>
          <w:szCs w:val="22"/>
        </w:rPr>
      </w:pPr>
      <w:r w:rsidRPr="001D522B">
        <w:rPr>
          <w:szCs w:val="22"/>
        </w:rPr>
        <w:t>He has also served on several Pakistan Government and State Bank of Pakistan committees on economic reforms and monetary policy.</w:t>
      </w:r>
    </w:p>
    <w:p w:rsidR="00030318" w:rsidRDefault="00030318" w:rsidP="00030318">
      <w:pPr>
        <w:pStyle w:val="BodyText"/>
        <w:ind w:left="720"/>
        <w:rPr>
          <w:szCs w:val="22"/>
        </w:rPr>
      </w:pPr>
    </w:p>
    <w:p w:rsidR="00030318" w:rsidRPr="001D522B" w:rsidRDefault="00030318" w:rsidP="00030318">
      <w:pPr>
        <w:pStyle w:val="BodyText"/>
        <w:ind w:left="720"/>
        <w:rPr>
          <w:szCs w:val="22"/>
        </w:rPr>
      </w:pPr>
    </w:p>
    <w:p w:rsidR="00030318" w:rsidRPr="001D522B" w:rsidRDefault="00030318" w:rsidP="00030318">
      <w:pPr>
        <w:pStyle w:val="BodyText"/>
        <w:ind w:left="720"/>
        <w:rPr>
          <w:b/>
          <w:szCs w:val="22"/>
        </w:rPr>
      </w:pPr>
      <w:r w:rsidRPr="001D522B">
        <w:rPr>
          <w:b/>
          <w:szCs w:val="22"/>
        </w:rPr>
        <w:t>Mr. Yasir Qadri – Chief Executive Officer</w:t>
      </w:r>
    </w:p>
    <w:p w:rsidR="00030318" w:rsidRPr="001D522B" w:rsidRDefault="00030318" w:rsidP="00030318">
      <w:pPr>
        <w:pStyle w:val="BodyText"/>
        <w:ind w:left="720"/>
        <w:rPr>
          <w:szCs w:val="22"/>
        </w:rPr>
      </w:pPr>
    </w:p>
    <w:p w:rsidR="00030318" w:rsidRPr="001D522B" w:rsidRDefault="00030318" w:rsidP="00030318">
      <w:pPr>
        <w:pStyle w:val="BodyText"/>
        <w:ind w:left="720"/>
        <w:jc w:val="both"/>
        <w:rPr>
          <w:szCs w:val="22"/>
        </w:rPr>
      </w:pPr>
      <w:r w:rsidRPr="001D522B">
        <w:rPr>
          <w:szCs w:val="22"/>
        </w:rPr>
        <w:t xml:space="preserve">Mr. Qadri has been associated with the asset management industry for the past 16 years, last serving as CEO of MCB-Arif Habib Savings &amp; investments, prior to which he served as CEO MCB Asset Management where he led the merger that brought together two leading asset managers established by two of the largest local business houses. Mr. Qadri has been member of two founding teams in the industry and has experience in business </w:t>
      </w:r>
      <w:r w:rsidRPr="001D522B">
        <w:rPr>
          <w:szCs w:val="22"/>
        </w:rPr>
        <w:lastRenderedPageBreak/>
        <w:t>development, investment management, product development, and human resource management.</w:t>
      </w:r>
    </w:p>
    <w:p w:rsidR="00030318" w:rsidRPr="001D522B" w:rsidRDefault="00030318" w:rsidP="00030318">
      <w:pPr>
        <w:pStyle w:val="BodyText"/>
        <w:ind w:left="720"/>
        <w:jc w:val="both"/>
        <w:rPr>
          <w:szCs w:val="22"/>
        </w:rPr>
      </w:pPr>
    </w:p>
    <w:p w:rsidR="00030318" w:rsidRPr="001D522B" w:rsidRDefault="00030318" w:rsidP="00030318">
      <w:pPr>
        <w:pStyle w:val="BodyText"/>
        <w:ind w:left="720"/>
        <w:jc w:val="both"/>
        <w:rPr>
          <w:szCs w:val="22"/>
        </w:rPr>
      </w:pPr>
      <w:r w:rsidRPr="001D522B">
        <w:rPr>
          <w:szCs w:val="22"/>
        </w:rPr>
        <w:t>He has previously served as Senior Vice Chairman of the Mutual Funds Association of Pakistan (MUFAP) and continues to chair their Technical Committee for the fourth year running. Mr. Qadri has also been visiting faculty for graduate and undergraduate classes with leading educational institutions of Pakistan and served on pan-industry committees set up by regulators and industry players. He has earned an M.B.A. and a B.B.A. degree from the University of Central Oklahoma, USA.</w:t>
      </w:r>
    </w:p>
    <w:p w:rsidR="00030318" w:rsidRPr="001D522B" w:rsidRDefault="00030318" w:rsidP="00030318">
      <w:pPr>
        <w:pStyle w:val="BodyText"/>
        <w:ind w:left="720"/>
        <w:jc w:val="both"/>
        <w:rPr>
          <w:szCs w:val="22"/>
        </w:rPr>
      </w:pPr>
    </w:p>
    <w:p w:rsidR="00030318" w:rsidRPr="001D522B" w:rsidRDefault="00030318" w:rsidP="00030318">
      <w:pPr>
        <w:pStyle w:val="BodyText"/>
        <w:ind w:left="720" w:right="180"/>
        <w:jc w:val="both"/>
        <w:rPr>
          <w:b/>
          <w:szCs w:val="22"/>
        </w:rPr>
      </w:pPr>
      <w:r w:rsidRPr="001D522B">
        <w:rPr>
          <w:b/>
          <w:szCs w:val="22"/>
        </w:rPr>
        <w:t>Ms. Naz Khan</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Ms. Naz Khan has worked as the Chief Financial Officer of Engro Corporation Ltd. During this period she was part of the team at Corp that implemented a successful turn-around through several transactions including restructurings, listings and new projects, which resulted in a tripling of the market cap of the company.</w:t>
      </w:r>
      <w:r>
        <w:rPr>
          <w:szCs w:val="22"/>
        </w:rPr>
        <w:t xml:space="preserve"> </w:t>
      </w:r>
      <w:r w:rsidRPr="001D522B">
        <w:rPr>
          <w:szCs w:val="22"/>
        </w:rPr>
        <w:t>Prior to her last role at Engro Corporation she was the CFO of Engro Fertilizers.</w:t>
      </w:r>
    </w:p>
    <w:p w:rsidR="00030318" w:rsidRPr="001D522B" w:rsidRDefault="00030318" w:rsidP="00030318">
      <w:pPr>
        <w:pStyle w:val="BodyText"/>
        <w:ind w:left="720" w:right="180"/>
        <w:jc w:val="both"/>
        <w:rPr>
          <w:szCs w:val="22"/>
        </w:rPr>
      </w:pPr>
      <w:r w:rsidRPr="001D522B">
        <w:rPr>
          <w:szCs w:val="22"/>
        </w:rPr>
        <w:t>Previously, Naz has been involved with the financial markets for over 18 years on the asset management, investment banking and broking sides. She was CEO of KASB Funds from 2005 to August 2010 and earlier has been actively involved in primary as well as secondary markets for both debt and equity securities. She has also held key positions of Executive Director, Head of Money Market and Fixed Income, Head of Investment Advisory Division and Co-Head of Investment Banking Division at KASB Securities Limited, where she led major capital market transactions on the debt and equity side.</w:t>
      </w:r>
    </w:p>
    <w:p w:rsidR="00030318" w:rsidRPr="001D522B" w:rsidRDefault="00030318" w:rsidP="00030318">
      <w:pPr>
        <w:pStyle w:val="BodyText"/>
        <w:ind w:left="720" w:right="180"/>
        <w:jc w:val="both"/>
        <w:rPr>
          <w:szCs w:val="22"/>
        </w:rPr>
      </w:pPr>
      <w:r w:rsidRPr="001D522B">
        <w:rPr>
          <w:szCs w:val="22"/>
        </w:rPr>
        <w:t>Naz has also served on the Boards of Mutual Fund Association of Pakistan (MUFAP), Young Presidents’ Organization (YPO) and several of the Engro company boards, including publicly listed companies, as well as the recent project companies of Thar and LNG.</w:t>
      </w:r>
    </w:p>
    <w:p w:rsidR="00030318" w:rsidRPr="001D522B" w:rsidRDefault="00030318" w:rsidP="00030318">
      <w:pPr>
        <w:pStyle w:val="BodyText"/>
        <w:ind w:left="720" w:right="180"/>
        <w:jc w:val="both"/>
        <w:rPr>
          <w:szCs w:val="22"/>
        </w:rPr>
      </w:pPr>
      <w:r w:rsidRPr="001D522B">
        <w:rPr>
          <w:szCs w:val="22"/>
        </w:rPr>
        <w:t>Naz has served as a member of various task forces and committees, including the Debt committees of the SECP and the KSE and is currently a member of the Investment</w:t>
      </w:r>
      <w:r w:rsidR="00FC67D4">
        <w:rPr>
          <w:szCs w:val="22"/>
        </w:rPr>
        <w:t xml:space="preserve"> </w:t>
      </w:r>
      <w:r w:rsidRPr="001D522B">
        <w:rPr>
          <w:szCs w:val="22"/>
        </w:rPr>
        <w:t>Committee of Pakistan Human Development Fund (PHDF). She has also worked as a consultant for the Asian Development Bank on Mortgage Backed Securities.</w:t>
      </w:r>
    </w:p>
    <w:p w:rsidR="00030318" w:rsidRPr="001D522B" w:rsidRDefault="00030318" w:rsidP="00030318">
      <w:pPr>
        <w:pStyle w:val="BodyText"/>
        <w:ind w:left="720" w:right="180"/>
        <w:jc w:val="both"/>
        <w:rPr>
          <w:szCs w:val="22"/>
        </w:rPr>
      </w:pPr>
      <w:r w:rsidRPr="001D522B">
        <w:rPr>
          <w:szCs w:val="22"/>
        </w:rPr>
        <w:t>Naz holds a B.A. in Economics from Mount Holyoke College, MA, USA and has attended leadership and management courses at INSEAD, Harvard University and Georgetown University.</w:t>
      </w:r>
    </w:p>
    <w:p w:rsidR="00030318" w:rsidRPr="001D522B" w:rsidRDefault="00030318" w:rsidP="00030318">
      <w:pPr>
        <w:pStyle w:val="BodyText"/>
        <w:ind w:left="720" w:right="180"/>
        <w:jc w:val="both"/>
        <w:rPr>
          <w:szCs w:val="22"/>
        </w:rPr>
      </w:pPr>
    </w:p>
    <w:p w:rsidR="00030318" w:rsidRDefault="00030318" w:rsidP="00030318">
      <w:pPr>
        <w:pStyle w:val="BodyText"/>
        <w:ind w:left="720" w:right="180"/>
        <w:jc w:val="both"/>
        <w:rPr>
          <w:b/>
          <w:szCs w:val="22"/>
        </w:rPr>
      </w:pPr>
      <w:r>
        <w:rPr>
          <w:b/>
          <w:szCs w:val="22"/>
        </w:rPr>
        <w:t>Sadia Saeed</w:t>
      </w:r>
    </w:p>
    <w:p w:rsidR="00030318" w:rsidRDefault="00030318" w:rsidP="00030318">
      <w:pPr>
        <w:pStyle w:val="BodyText"/>
        <w:ind w:left="720" w:right="180"/>
        <w:jc w:val="both"/>
        <w:rPr>
          <w:b/>
          <w:szCs w:val="22"/>
        </w:rPr>
      </w:pP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Ms. Sadia Saeed has over 30 years of domestic and international banking experience. She has extensive exposure to almost all departments of commercial banking with leadership roles in Human Resources, SME, Credit and Wholesale Banking. She has been a member of Country and Regional Management Committees at MCB Bank, Standard Chartered Bank Pakistan &amp; UAE.</w:t>
      </w: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She holds a Master in Business Administration (MBA) from Institute of Business Administration (IBA)-Karachi. She has attended several Leadership, HR and Credit Seminars including HR Strategy in Transforming Organizations (London Business School) and Managing Change &amp; Change of Management in Asia (INSEAD Singapore Campus).</w:t>
      </w: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Ms. Sadia Saeed is currently the Group Executive–Human Resource at United Bank Limited (UBL)-Karachi. Prior to joining UBL, she held senior positions at various banks including Standard Chartered Bank and MCB Bank Limited in the capacity of ‘Regional General Manager SME Banking’ and ‘Group Head Human Resources’.</w:t>
      </w:r>
    </w:p>
    <w:p w:rsidR="00030318" w:rsidRDefault="00030318" w:rsidP="00030318">
      <w:pPr>
        <w:pStyle w:val="BodyText"/>
        <w:ind w:left="720" w:right="180"/>
        <w:jc w:val="both"/>
        <w:rPr>
          <w:b/>
          <w:szCs w:val="22"/>
        </w:rPr>
      </w:pPr>
    </w:p>
    <w:p w:rsidR="00030318" w:rsidRDefault="00030318" w:rsidP="00030318">
      <w:pPr>
        <w:pStyle w:val="BodyText"/>
        <w:ind w:left="720" w:right="180"/>
        <w:jc w:val="both"/>
        <w:rPr>
          <w:b/>
          <w:szCs w:val="22"/>
        </w:rPr>
      </w:pPr>
      <w:r>
        <w:rPr>
          <w:b/>
          <w:szCs w:val="22"/>
        </w:rPr>
        <w:t>Mr. Imran Sarwar</w:t>
      </w:r>
    </w:p>
    <w:p w:rsidR="00030318" w:rsidRDefault="00030318" w:rsidP="00030318">
      <w:pPr>
        <w:pStyle w:val="BodyText"/>
        <w:ind w:left="720" w:right="180"/>
        <w:jc w:val="both"/>
        <w:rPr>
          <w:b/>
          <w:szCs w:val="22"/>
        </w:rPr>
      </w:pP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Mr. Imran Sarwar has over 25 years of leadership, management, strategy and risk experience in banking. He holds a business degree from Ohio Wesleyan University and Law from the University of Punjab.</w:t>
      </w: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Mr. Imran Sarwar is currently the Group Executive –Risk and Credit Policy, Chief Risk Officer at United Bank Limited (UBL)-Karachi. Prior to joining UBL, he held various senior positions at Standard Chartered Bank UAE and Pakistan. His last role was Head of Corporate Banking UAE.</w:t>
      </w:r>
    </w:p>
    <w:p w:rsidR="00030318" w:rsidRDefault="00030318" w:rsidP="00030318">
      <w:pPr>
        <w:pStyle w:val="BodyText"/>
        <w:ind w:left="720" w:right="180"/>
        <w:jc w:val="both"/>
        <w:rPr>
          <w:b/>
          <w:szCs w:val="22"/>
        </w:rPr>
      </w:pPr>
      <w:r>
        <w:rPr>
          <w:b/>
          <w:szCs w:val="22"/>
        </w:rPr>
        <w:t xml:space="preserve">Mr. </w:t>
      </w:r>
      <w:proofErr w:type="spellStart"/>
      <w:r>
        <w:rPr>
          <w:b/>
          <w:szCs w:val="22"/>
        </w:rPr>
        <w:t>Tauqeer</w:t>
      </w:r>
      <w:proofErr w:type="spellEnd"/>
      <w:r>
        <w:rPr>
          <w:b/>
          <w:szCs w:val="22"/>
        </w:rPr>
        <w:t xml:space="preserve"> </w:t>
      </w:r>
      <w:proofErr w:type="spellStart"/>
      <w:r>
        <w:rPr>
          <w:b/>
          <w:szCs w:val="22"/>
        </w:rPr>
        <w:t>Mazhar</w:t>
      </w:r>
      <w:proofErr w:type="spellEnd"/>
    </w:p>
    <w:p w:rsidR="00030318" w:rsidRDefault="00030318" w:rsidP="00030318">
      <w:pPr>
        <w:pStyle w:val="BodyText"/>
        <w:ind w:left="720" w:right="180"/>
        <w:jc w:val="both"/>
        <w:rPr>
          <w:b/>
          <w:szCs w:val="22"/>
        </w:rPr>
      </w:pP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lastRenderedPageBreak/>
        <w:t xml:space="preserve">Mr. </w:t>
      </w:r>
      <w:proofErr w:type="spellStart"/>
      <w:r w:rsidRPr="00A96E38">
        <w:rPr>
          <w:sz w:val="20"/>
        </w:rPr>
        <w:t>Tauqeer</w:t>
      </w:r>
      <w:proofErr w:type="spellEnd"/>
      <w:r w:rsidRPr="00A96E38">
        <w:rPr>
          <w:sz w:val="20"/>
        </w:rPr>
        <w:t xml:space="preserve"> </w:t>
      </w:r>
      <w:proofErr w:type="spellStart"/>
      <w:r w:rsidRPr="00A96E38">
        <w:rPr>
          <w:sz w:val="20"/>
        </w:rPr>
        <w:t>Mazhar</w:t>
      </w:r>
      <w:proofErr w:type="spellEnd"/>
      <w:r w:rsidRPr="00A96E38">
        <w:rPr>
          <w:sz w:val="20"/>
        </w:rPr>
        <w:t>, currently Group Head – Branch Banking at UBL, has a banking career spanning over 28 years in Pakistan and abroad. His last assignment was at Habib Bank Limited where he worked for over seven years, first as Business Head Central Region &amp; Chief Representative Punjab and then as Head Branch Operations.</w:t>
      </w: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 xml:space="preserve">Tauqeer started his career at </w:t>
      </w:r>
      <w:proofErr w:type="spellStart"/>
      <w:r w:rsidRPr="00A96E38">
        <w:rPr>
          <w:sz w:val="20"/>
        </w:rPr>
        <w:t>CitiBank</w:t>
      </w:r>
      <w:proofErr w:type="spellEnd"/>
      <w:r w:rsidRPr="00A96E38">
        <w:rPr>
          <w:sz w:val="20"/>
        </w:rPr>
        <w:t xml:space="preserve">, Lahore. His later career is interspersed with tenures in global institutions like Samba Bank, ABN </w:t>
      </w:r>
      <w:proofErr w:type="spellStart"/>
      <w:r w:rsidRPr="00A96E38">
        <w:rPr>
          <w:sz w:val="20"/>
        </w:rPr>
        <w:t>Amro</w:t>
      </w:r>
      <w:proofErr w:type="spellEnd"/>
      <w:r w:rsidRPr="00A96E38">
        <w:rPr>
          <w:sz w:val="20"/>
        </w:rPr>
        <w:t xml:space="preserve"> and </w:t>
      </w:r>
      <w:proofErr w:type="spellStart"/>
      <w:r w:rsidRPr="00A96E38">
        <w:rPr>
          <w:sz w:val="20"/>
        </w:rPr>
        <w:t>KazInvest</w:t>
      </w:r>
      <w:proofErr w:type="spellEnd"/>
      <w:r w:rsidRPr="00A96E38">
        <w:rPr>
          <w:sz w:val="20"/>
        </w:rPr>
        <w:t xml:space="preserve"> Bank (Kazakhstan) with senior assignments at </w:t>
      </w:r>
      <w:proofErr w:type="spellStart"/>
      <w:r w:rsidRPr="00A96E38">
        <w:rPr>
          <w:sz w:val="20"/>
        </w:rPr>
        <w:t>CitiBank</w:t>
      </w:r>
      <w:proofErr w:type="spellEnd"/>
      <w:r w:rsidRPr="00A96E38">
        <w:rPr>
          <w:sz w:val="20"/>
        </w:rPr>
        <w:t xml:space="preserve"> in UAE, Saudi Arabia and USA.</w:t>
      </w:r>
    </w:p>
    <w:p w:rsidR="00030318" w:rsidRPr="00A96E38" w:rsidRDefault="00030318" w:rsidP="00030318">
      <w:pPr>
        <w:widowControl/>
        <w:shd w:val="clear" w:color="auto" w:fill="FFFFFF"/>
        <w:autoSpaceDE/>
        <w:autoSpaceDN/>
        <w:spacing w:after="225" w:line="300" w:lineRule="atLeast"/>
        <w:ind w:left="720"/>
        <w:jc w:val="both"/>
        <w:rPr>
          <w:sz w:val="20"/>
        </w:rPr>
      </w:pPr>
      <w:r w:rsidRPr="00A96E38">
        <w:rPr>
          <w:sz w:val="20"/>
        </w:rPr>
        <w:t>As Group Head for Branch Banking at UBL he is responsible for areas of Retail, Consumer and SME banking.</w:t>
      </w:r>
      <w:r>
        <w:rPr>
          <w:sz w:val="20"/>
        </w:rPr>
        <w:t xml:space="preserve"> </w:t>
      </w:r>
      <w:r w:rsidRPr="00A96E38">
        <w:rPr>
          <w:sz w:val="20"/>
        </w:rPr>
        <w:t>Tauqeer holds an MBA from LUMS, Lahore.</w:t>
      </w:r>
    </w:p>
    <w:p w:rsidR="00030318" w:rsidRDefault="00030318" w:rsidP="00030318">
      <w:pPr>
        <w:pStyle w:val="BodyText"/>
        <w:ind w:left="720" w:right="180"/>
        <w:jc w:val="both"/>
        <w:rPr>
          <w:b/>
          <w:szCs w:val="22"/>
        </w:rPr>
      </w:pPr>
    </w:p>
    <w:p w:rsidR="00030318" w:rsidRPr="001D522B" w:rsidRDefault="00030318" w:rsidP="00030318">
      <w:pPr>
        <w:pStyle w:val="BodyText"/>
        <w:ind w:left="720" w:right="180"/>
        <w:jc w:val="both"/>
        <w:rPr>
          <w:b/>
          <w:szCs w:val="22"/>
        </w:rPr>
      </w:pPr>
      <w:r w:rsidRPr="001D522B">
        <w:rPr>
          <w:b/>
          <w:szCs w:val="22"/>
        </w:rPr>
        <w:t>Mr. Syed Farrukh Zaeem</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 xml:space="preserve">Mr. Syed </w:t>
      </w:r>
      <w:proofErr w:type="spellStart"/>
      <w:r w:rsidRPr="001D522B">
        <w:rPr>
          <w:szCs w:val="22"/>
        </w:rPr>
        <w:t>Furrukh</w:t>
      </w:r>
      <w:proofErr w:type="spellEnd"/>
      <w:r w:rsidRPr="001D522B">
        <w:rPr>
          <w:szCs w:val="22"/>
        </w:rPr>
        <w:t xml:space="preserve"> Zaeem has been associated with UBL as Executive Vice President &amp; Group Head – Treasury &amp; Capital markets for the past 6 ½ Years and brings with him around 20 years of financial market experience. He has played a pivotal role in restructuring the treasury protocols and improved on transparency in running the day to day activity in the Treasury dealing room. He serves as the ALCO secretary for UBL and is a member of risk/investment committees in the Bank. In addition to his domestic treasury management responsibility he also provides necessary support to the International Treasury.</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Mr. Zaeem worked as Head Financial markets &amp; Treasurer at American Express Bank Pakistan and was with them for 11 years in different roles. He joined JS Bank as Executive Vice President and Head of Treasury where he played an instrumental role in setting up and running of the new established Treasury for JS Bank.</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 xml:space="preserve">Mr. Zaeem has been associated with Financial market association of Pakistan (FMAP) from time to time in different capacity. Very recently he was the assistant secretary of FMAP in the year 2011- 2014 where he worked on market development activity &amp; introduction of new financial products. He has also served as General Secretary for FMAP from 2007-2008. He holds a </w:t>
      </w:r>
      <w:proofErr w:type="spellStart"/>
      <w:r w:rsidRPr="001D522B">
        <w:rPr>
          <w:szCs w:val="22"/>
        </w:rPr>
        <w:t>Master‟s</w:t>
      </w:r>
      <w:proofErr w:type="spellEnd"/>
      <w:r w:rsidRPr="001D522B">
        <w:rPr>
          <w:szCs w:val="22"/>
        </w:rPr>
        <w:t xml:space="preserve"> Degree in Business Administration from the Institute of Business Administration, Karachi, Pakistan.</w:t>
      </w:r>
    </w:p>
    <w:p w:rsidR="00030318" w:rsidRPr="001D522B" w:rsidRDefault="00030318" w:rsidP="00030318">
      <w:pPr>
        <w:pStyle w:val="BodyText"/>
        <w:ind w:left="720" w:right="180"/>
        <w:rPr>
          <w:szCs w:val="22"/>
        </w:rPr>
      </w:pPr>
    </w:p>
    <w:p w:rsidR="00030318" w:rsidRDefault="00030318" w:rsidP="00030318">
      <w:pPr>
        <w:pStyle w:val="BodyText"/>
        <w:ind w:left="720" w:right="180"/>
        <w:rPr>
          <w:b/>
          <w:szCs w:val="22"/>
        </w:rPr>
      </w:pPr>
    </w:p>
    <w:p w:rsidR="00030318" w:rsidRPr="001D522B" w:rsidRDefault="00030318" w:rsidP="00030318">
      <w:pPr>
        <w:pStyle w:val="BodyText"/>
        <w:ind w:left="720" w:right="180"/>
        <w:rPr>
          <w:b/>
          <w:sz w:val="24"/>
          <w:szCs w:val="22"/>
        </w:rPr>
      </w:pPr>
      <w:r w:rsidRPr="001D522B">
        <w:rPr>
          <w:b/>
          <w:sz w:val="24"/>
          <w:szCs w:val="22"/>
        </w:rPr>
        <w:t>Profile of the Management</w:t>
      </w:r>
    </w:p>
    <w:p w:rsidR="00030318" w:rsidRPr="001D522B" w:rsidRDefault="00030318" w:rsidP="00030318">
      <w:pPr>
        <w:pStyle w:val="BodyText"/>
        <w:ind w:left="720" w:right="180"/>
        <w:rPr>
          <w:szCs w:val="22"/>
        </w:rPr>
      </w:pPr>
    </w:p>
    <w:p w:rsidR="00030318" w:rsidRPr="001D522B" w:rsidRDefault="00030318" w:rsidP="00030318">
      <w:pPr>
        <w:pStyle w:val="BodyText"/>
        <w:ind w:left="720" w:right="180"/>
        <w:rPr>
          <w:b/>
          <w:szCs w:val="22"/>
        </w:rPr>
      </w:pPr>
      <w:r w:rsidRPr="001D522B">
        <w:rPr>
          <w:b/>
          <w:szCs w:val="22"/>
        </w:rPr>
        <w:t>Mr. Yasir Qadri - Chief Executive Officer</w:t>
      </w:r>
    </w:p>
    <w:p w:rsidR="00030318" w:rsidRPr="001D522B" w:rsidRDefault="00030318" w:rsidP="00030318">
      <w:pPr>
        <w:pStyle w:val="BodyText"/>
        <w:ind w:left="720" w:right="180"/>
        <w:rPr>
          <w:b/>
          <w:szCs w:val="22"/>
        </w:rPr>
      </w:pPr>
    </w:p>
    <w:p w:rsidR="00030318" w:rsidRPr="001D522B" w:rsidRDefault="00030318" w:rsidP="00030318">
      <w:pPr>
        <w:pStyle w:val="BodyText"/>
        <w:ind w:left="720" w:right="180"/>
        <w:rPr>
          <w:szCs w:val="22"/>
        </w:rPr>
      </w:pPr>
      <w:r w:rsidRPr="001D522B">
        <w:rPr>
          <w:szCs w:val="22"/>
        </w:rPr>
        <w:t>For background please see the section above.</w:t>
      </w:r>
    </w:p>
    <w:p w:rsidR="00030318" w:rsidRPr="001D522B" w:rsidRDefault="00030318" w:rsidP="00030318">
      <w:pPr>
        <w:pStyle w:val="BodyText"/>
        <w:ind w:left="720" w:right="180"/>
        <w:rPr>
          <w:szCs w:val="22"/>
        </w:rPr>
      </w:pPr>
    </w:p>
    <w:p w:rsidR="00030318" w:rsidRPr="001D522B" w:rsidRDefault="00030318" w:rsidP="00030318">
      <w:pPr>
        <w:pStyle w:val="BodyText"/>
        <w:ind w:left="720" w:right="180"/>
        <w:rPr>
          <w:szCs w:val="22"/>
        </w:rPr>
      </w:pPr>
    </w:p>
    <w:p w:rsidR="00030318" w:rsidRPr="001D522B" w:rsidRDefault="00030318" w:rsidP="00030318">
      <w:pPr>
        <w:pStyle w:val="BodyText"/>
        <w:ind w:left="720" w:right="180"/>
        <w:jc w:val="both"/>
        <w:rPr>
          <w:b/>
          <w:szCs w:val="22"/>
        </w:rPr>
      </w:pPr>
      <w:r w:rsidRPr="001D522B">
        <w:rPr>
          <w:b/>
          <w:szCs w:val="22"/>
        </w:rPr>
        <w:t xml:space="preserve">Mr. Ammar Valika – Head of </w:t>
      </w:r>
      <w:r>
        <w:rPr>
          <w:b/>
          <w:szCs w:val="22"/>
        </w:rPr>
        <w:t>Sales Strategy &amp; Channel Development</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With over 8 years of experience in asset management and management consulting, Ammar holds a B.A in Economics from McGill University, Canada. In his last role he was looking after Institutional &amp; Retail Investments for BMA Financial Services Ltd., Pakistan’s first independent financial products distribution company, where he initially joined as Head of Business Development and Strategy.</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 xml:space="preserve">Previously he worked as a senior consultant for </w:t>
      </w:r>
      <w:proofErr w:type="spellStart"/>
      <w:r w:rsidRPr="001D522B">
        <w:rPr>
          <w:szCs w:val="22"/>
        </w:rPr>
        <w:t>Sidat</w:t>
      </w:r>
      <w:proofErr w:type="spellEnd"/>
      <w:r w:rsidRPr="001D522B">
        <w:rPr>
          <w:szCs w:val="22"/>
        </w:rPr>
        <w:t xml:space="preserve"> </w:t>
      </w:r>
      <w:proofErr w:type="spellStart"/>
      <w:r w:rsidRPr="001D522B">
        <w:rPr>
          <w:szCs w:val="22"/>
        </w:rPr>
        <w:t>Hyder</w:t>
      </w:r>
      <w:proofErr w:type="spellEnd"/>
      <w:r w:rsidRPr="001D522B">
        <w:rPr>
          <w:szCs w:val="22"/>
        </w:rPr>
        <w:t xml:space="preserve"> </w:t>
      </w:r>
      <w:proofErr w:type="spellStart"/>
      <w:r w:rsidRPr="001D522B">
        <w:rPr>
          <w:szCs w:val="22"/>
        </w:rPr>
        <w:t>Morshed</w:t>
      </w:r>
      <w:proofErr w:type="spellEnd"/>
      <w:r w:rsidRPr="001D522B">
        <w:rPr>
          <w:szCs w:val="22"/>
        </w:rPr>
        <w:t xml:space="preserve"> Associates (Watson Wyatt Pakistan) serving on various projects for clients including The World Bank, Asian Development Bank, State Bank of Pakistan, State Life Insurance Company, SingTel (Singapore), Microsoft (Turkey), Motor India Company amongst others.</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Ammar has extensive knowledge of the fixed income &amp; equity markets in Pakistan and has strong relationships with High Net Worth Individuals and Corporate clientele nationwide.</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b/>
          <w:szCs w:val="22"/>
        </w:rPr>
      </w:pPr>
      <w:r w:rsidRPr="001D522B">
        <w:rPr>
          <w:b/>
          <w:szCs w:val="22"/>
        </w:rPr>
        <w:t xml:space="preserve">Mr. Umair </w:t>
      </w:r>
      <w:r>
        <w:rPr>
          <w:b/>
          <w:szCs w:val="22"/>
        </w:rPr>
        <w:t>Ahmed – Chief Financial Officer</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 xml:space="preserve">Mr. Ahmed is an Associate member of the Institute of Chartered Accountant of Pakistan having a professional experience of 14 years with over 9 years in Asset Management industry. During his career, Mr. Ahmed has </w:t>
      </w:r>
      <w:r w:rsidRPr="001D522B">
        <w:rPr>
          <w:szCs w:val="22"/>
        </w:rPr>
        <w:lastRenderedPageBreak/>
        <w:t>mostly remained associated with MCB Arif Habib Savings &amp; Investments Ltd (MCBAH), where he worked for over 8 years and was elevated to the position of its Chief Financial Officer. During his stint with MCBAH, he remained actively involved in Management of the Finance and Fund Operations functions, setting financial strategy, budgeting and forecasting, and providing the financial input to the overall management of the Company.</w:t>
      </w:r>
    </w:p>
    <w:p w:rsidR="00030318" w:rsidRPr="001D522B" w:rsidRDefault="00030318" w:rsidP="00030318">
      <w:pPr>
        <w:pStyle w:val="BodyText"/>
        <w:ind w:left="720" w:right="180"/>
        <w:jc w:val="both"/>
        <w:rPr>
          <w:szCs w:val="22"/>
        </w:rPr>
      </w:pPr>
      <w:r w:rsidRPr="001D522B">
        <w:rPr>
          <w:szCs w:val="22"/>
        </w:rPr>
        <w:t>Prior to joining UBL Funds, Mr. Ahmed was at PIA Investments Ltd as General Manager Finance. Being a member of Senior Management, his primary responsibility included overseeing financial affairs of Company’s investments in hospitality sector that were collectively valued at more than US$600 million.”</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b/>
          <w:szCs w:val="22"/>
        </w:rPr>
      </w:pPr>
      <w:r w:rsidRPr="001D522B">
        <w:rPr>
          <w:b/>
          <w:szCs w:val="22"/>
        </w:rPr>
        <w:t>Mr. Amin Gulamani – Head of Human Resources</w:t>
      </w:r>
    </w:p>
    <w:p w:rsidR="00030318" w:rsidRPr="001D522B" w:rsidRDefault="00030318" w:rsidP="00030318">
      <w:pPr>
        <w:pStyle w:val="BodyText"/>
        <w:ind w:left="720" w:right="180"/>
        <w:jc w:val="both"/>
        <w:rPr>
          <w:b/>
          <w:szCs w:val="22"/>
        </w:rPr>
      </w:pPr>
    </w:p>
    <w:p w:rsidR="00030318" w:rsidRPr="001D522B" w:rsidRDefault="00030318" w:rsidP="00030318">
      <w:pPr>
        <w:pStyle w:val="BodyText"/>
        <w:ind w:left="720" w:right="180"/>
        <w:jc w:val="both"/>
        <w:rPr>
          <w:szCs w:val="22"/>
        </w:rPr>
      </w:pPr>
      <w:r w:rsidRPr="001D522B">
        <w:rPr>
          <w:szCs w:val="22"/>
        </w:rPr>
        <w:t>Amin has over 13 years of work experience in the field of human resources both at the strategic and operational level. Prior to his joining UBL Fund Managers, he was associated with the Aga Khan University where he was handling all functions of HR including talent acquisition, retention and development as well as was involved in several change management and organizational development related initiatives. Amin holds a Master’s degree in Business Administration with specialization in Human Resources from the Institute of Business Management and a certification in Social Enterprise Management from Lahore University of Management Sciences</w:t>
      </w:r>
    </w:p>
    <w:p w:rsidR="00030318" w:rsidRPr="001D522B" w:rsidRDefault="00030318" w:rsidP="00030318">
      <w:pPr>
        <w:pStyle w:val="BodyText"/>
        <w:ind w:left="720" w:right="180"/>
        <w:jc w:val="both"/>
        <w:rPr>
          <w:szCs w:val="22"/>
        </w:rPr>
      </w:pPr>
    </w:p>
    <w:p w:rsidR="00030318" w:rsidRDefault="00030318" w:rsidP="00030318">
      <w:pPr>
        <w:pStyle w:val="BodyText"/>
        <w:ind w:left="720" w:right="180"/>
        <w:jc w:val="both"/>
        <w:rPr>
          <w:b/>
          <w:szCs w:val="22"/>
        </w:rPr>
      </w:pPr>
    </w:p>
    <w:p w:rsidR="00030318" w:rsidRPr="001D522B" w:rsidRDefault="00030318" w:rsidP="00030318">
      <w:pPr>
        <w:pStyle w:val="BodyText"/>
        <w:ind w:left="720" w:right="180"/>
        <w:jc w:val="both"/>
        <w:rPr>
          <w:b/>
          <w:szCs w:val="22"/>
        </w:rPr>
      </w:pPr>
      <w:r w:rsidRPr="001D522B">
        <w:rPr>
          <w:b/>
          <w:szCs w:val="22"/>
        </w:rPr>
        <w:t>Mr. Zeeshan Quddus – Chief Business Development Officer</w:t>
      </w:r>
    </w:p>
    <w:p w:rsidR="00030318" w:rsidRPr="001D522B" w:rsidRDefault="00030318" w:rsidP="00030318">
      <w:pPr>
        <w:pStyle w:val="BodyText"/>
        <w:ind w:left="720" w:right="180"/>
        <w:jc w:val="both"/>
        <w:rPr>
          <w:b/>
          <w:szCs w:val="22"/>
        </w:rPr>
      </w:pPr>
    </w:p>
    <w:p w:rsidR="00030318" w:rsidRPr="001D522B" w:rsidRDefault="00030318" w:rsidP="00030318">
      <w:pPr>
        <w:pStyle w:val="BodyText"/>
        <w:ind w:left="720" w:right="180"/>
        <w:jc w:val="both"/>
        <w:rPr>
          <w:szCs w:val="22"/>
        </w:rPr>
      </w:pPr>
      <w:r w:rsidRPr="001D522B">
        <w:rPr>
          <w:szCs w:val="22"/>
        </w:rPr>
        <w:t xml:space="preserve">Zeeshan is a Chartered Accountant, having qualified in 2003. He completed his </w:t>
      </w:r>
      <w:proofErr w:type="spellStart"/>
      <w:r w:rsidRPr="001D522B">
        <w:rPr>
          <w:szCs w:val="22"/>
        </w:rPr>
        <w:t>Articleship</w:t>
      </w:r>
      <w:proofErr w:type="spellEnd"/>
      <w:r w:rsidRPr="001D522B">
        <w:rPr>
          <w:szCs w:val="22"/>
        </w:rPr>
        <w:t xml:space="preserve"> from Ernst and Young. Zeeshan has a diversified experience of working in areas such as finance, Operations, Business Development and Strategic planning. Zeeshan has been associated with many prestigious organizations such as Arif Habib Investments, Al-Meezan Investments and NBP Fullerton Asset Management. Zeeshan has served on various committees including Tax committee of MUFAP, Economic advisory committee of the Institute of Chartered Accountants of Pakistan.</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b/>
          <w:szCs w:val="22"/>
        </w:rPr>
      </w:pPr>
      <w:r w:rsidRPr="001D522B">
        <w:rPr>
          <w:b/>
          <w:szCs w:val="22"/>
        </w:rPr>
        <w:t>Syed Suleman Akhtar – Chief Investment Officer</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Suleman is a CFA Charter holder and, has done Masters in Business Administration with majors in Finance from Institute of Business Administration. He has over 16 years of well- rounded experience in equity research and corporate treasury management.</w:t>
      </w:r>
    </w:p>
    <w:p w:rsidR="00030318" w:rsidRPr="001D522B" w:rsidRDefault="00030318" w:rsidP="00030318">
      <w:pPr>
        <w:pStyle w:val="BodyText"/>
        <w:ind w:left="720" w:right="180"/>
        <w:jc w:val="both"/>
        <w:rPr>
          <w:szCs w:val="22"/>
        </w:rPr>
      </w:pPr>
      <w:r w:rsidRPr="001D522B">
        <w:rPr>
          <w:szCs w:val="22"/>
        </w:rPr>
        <w:t>Prior to joining UBLFM, Mr. Suleman was associated with NBP Fullerton Asset Management Limited as Head of Research for the past 04 years.</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b/>
          <w:szCs w:val="22"/>
        </w:rPr>
      </w:pPr>
      <w:r w:rsidRPr="001D522B">
        <w:rPr>
          <w:b/>
          <w:szCs w:val="22"/>
        </w:rPr>
        <w:t xml:space="preserve">Aly Osman - </w:t>
      </w:r>
      <w:r w:rsidRPr="001D68E0">
        <w:rPr>
          <w:b/>
        </w:rPr>
        <w:t>Company Secretary &amp; Head of Internal Audit</w:t>
      </w:r>
    </w:p>
    <w:p w:rsidR="00030318" w:rsidRPr="001D522B" w:rsidRDefault="00030318" w:rsidP="00030318">
      <w:pPr>
        <w:pStyle w:val="BodyText"/>
        <w:ind w:left="720" w:right="180"/>
        <w:jc w:val="both"/>
        <w:rPr>
          <w:szCs w:val="22"/>
        </w:rPr>
      </w:pPr>
    </w:p>
    <w:p w:rsidR="00030318" w:rsidRPr="001D522B" w:rsidRDefault="00030318" w:rsidP="00030318">
      <w:pPr>
        <w:pStyle w:val="BodyText"/>
        <w:ind w:left="720" w:right="180"/>
        <w:jc w:val="both"/>
        <w:rPr>
          <w:szCs w:val="22"/>
        </w:rPr>
      </w:pPr>
      <w:r w:rsidRPr="001D522B">
        <w:rPr>
          <w:szCs w:val="22"/>
        </w:rPr>
        <w:t>Aly is an Associate Member of the Institute of Cost and Management Accountant of Pakistan, Certified Director (ICAP) and has completed INSEAD Strategy Execution Program and has attended several prestigious training and international conferences. Aly carries vast professional experience of around 18 years working in renowned companies of Pakistan mainly in the field of corporate governance, compliance, risk, company secretarial and audit functions.</w:t>
      </w:r>
    </w:p>
    <w:p w:rsidR="00DF2C33" w:rsidRDefault="00030318" w:rsidP="00030318">
      <w:pPr>
        <w:spacing w:line="276" w:lineRule="auto"/>
        <w:ind w:left="720"/>
        <w:rPr>
          <w:sz w:val="20"/>
        </w:rPr>
      </w:pPr>
      <w:r w:rsidRPr="00EA3A0E">
        <w:rPr>
          <w:sz w:val="20"/>
        </w:rPr>
        <w:t>Prior to re-joining UBLFM, Aly was working at Telenor Pakistan in the capacity of Director Ethics &amp; Compliance.</w:t>
      </w:r>
    </w:p>
    <w:p w:rsidR="00F810B4" w:rsidRDefault="00F810B4" w:rsidP="005D0461">
      <w:pPr>
        <w:pStyle w:val="Heading3"/>
        <w:numPr>
          <w:ilvl w:val="2"/>
          <w:numId w:val="54"/>
        </w:numPr>
        <w:tabs>
          <w:tab w:val="left" w:pos="1342"/>
        </w:tabs>
        <w:spacing w:before="192"/>
        <w:jc w:val="both"/>
        <w:rPr>
          <w:sz w:val="20"/>
        </w:rPr>
      </w:pPr>
      <w:r>
        <w:t>Performance of Listed Associated</w:t>
      </w:r>
      <w:r>
        <w:rPr>
          <w:spacing w:val="-6"/>
        </w:rPr>
        <w:t xml:space="preserve"> </w:t>
      </w:r>
      <w:r>
        <w:t>Companies</w:t>
      </w:r>
    </w:p>
    <w:p w:rsidR="00F810B4" w:rsidRDefault="00F810B4" w:rsidP="00F810B4">
      <w:pPr>
        <w:pStyle w:val="BodyText"/>
        <w:rPr>
          <w:b/>
          <w:i/>
          <w:sz w:val="24"/>
        </w:rPr>
      </w:pPr>
    </w:p>
    <w:p w:rsidR="00F810B4" w:rsidRDefault="00F810B4" w:rsidP="00F810B4">
      <w:pPr>
        <w:ind w:left="621"/>
        <w:rPr>
          <w:b/>
          <w:sz w:val="20"/>
        </w:rPr>
      </w:pPr>
      <w:r>
        <w:rPr>
          <w:b/>
          <w:sz w:val="20"/>
        </w:rPr>
        <w:t>United Bank Limited</w:t>
      </w:r>
    </w:p>
    <w:p w:rsidR="00F810B4" w:rsidRDefault="00F810B4" w:rsidP="00F810B4">
      <w:pPr>
        <w:pStyle w:val="BodyText"/>
        <w:rPr>
          <w:b/>
        </w:rPr>
      </w:pPr>
    </w:p>
    <w:p w:rsidR="00030318" w:rsidRDefault="00030318" w:rsidP="00F810B4">
      <w:pPr>
        <w:pStyle w:val="BodyText"/>
        <w:rPr>
          <w:b/>
        </w:rPr>
      </w:pPr>
      <w:r>
        <w:rPr>
          <w:b/>
        </w:rPr>
        <w:tab/>
      </w:r>
      <w:r>
        <w:rPr>
          <w:b/>
        </w:rPr>
        <w:tab/>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1880"/>
        <w:gridCol w:w="939"/>
        <w:gridCol w:w="1106"/>
        <w:gridCol w:w="1106"/>
        <w:gridCol w:w="1106"/>
        <w:gridCol w:w="1106"/>
        <w:gridCol w:w="1037"/>
        <w:gridCol w:w="1037"/>
      </w:tblGrid>
      <w:tr w:rsidR="00030318" w:rsidRPr="00307A07" w:rsidTr="00030318">
        <w:trPr>
          <w:trHeight w:val="437"/>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 </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(Rupees in  Millions)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2016</w:t>
            </w:r>
          </w:p>
        </w:tc>
        <w:tc>
          <w:tcPr>
            <w:tcW w:w="1037" w:type="dxa"/>
            <w:tcBorders>
              <w:top w:val="single" w:sz="8" w:space="0" w:color="auto"/>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p>
          <w:p w:rsidR="00030318" w:rsidRDefault="00030318" w:rsidP="00030318">
            <w:pPr>
              <w:widowControl/>
              <w:autoSpaceDE/>
              <w:autoSpaceDN/>
              <w:jc w:val="both"/>
              <w:rPr>
                <w:rFonts w:eastAsia="Times New Roman"/>
                <w:color w:val="222222"/>
                <w:sz w:val="20"/>
                <w:szCs w:val="20"/>
                <w:lang w:bidi="ar-SA"/>
              </w:rPr>
            </w:pPr>
          </w:p>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2017</w:t>
            </w:r>
          </w:p>
        </w:tc>
        <w:tc>
          <w:tcPr>
            <w:tcW w:w="1037" w:type="dxa"/>
            <w:tcBorders>
              <w:top w:val="single" w:sz="8" w:space="0" w:color="auto"/>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p>
          <w:p w:rsidR="00030318" w:rsidRDefault="00030318" w:rsidP="00030318">
            <w:pPr>
              <w:widowControl/>
              <w:autoSpaceDE/>
              <w:autoSpaceDN/>
              <w:jc w:val="both"/>
              <w:rPr>
                <w:rFonts w:eastAsia="Times New Roman"/>
                <w:color w:val="222222"/>
                <w:sz w:val="20"/>
                <w:szCs w:val="20"/>
                <w:lang w:bidi="ar-SA"/>
              </w:rPr>
            </w:pPr>
          </w:p>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2018</w:t>
            </w:r>
          </w:p>
        </w:tc>
      </w:tr>
      <w:tr w:rsidR="00030318" w:rsidRPr="00307A07" w:rsidTr="00030318">
        <w:trPr>
          <w:trHeight w:val="350"/>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 </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Profit before tax</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28,410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28,908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33,400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42,175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46,015</w:t>
            </w:r>
          </w:p>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p>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40,160</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24,966</w:t>
            </w:r>
          </w:p>
        </w:tc>
      </w:tr>
      <w:tr w:rsidR="00030318" w:rsidRPr="00307A07" w:rsidTr="00030318">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Profit after tax</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19,279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19,724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21,930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25,727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27,730</w:t>
            </w:r>
          </w:p>
        </w:tc>
        <w:tc>
          <w:tcPr>
            <w:tcW w:w="1037" w:type="dxa"/>
            <w:tcBorders>
              <w:top w:val="nil"/>
              <w:left w:val="nil"/>
              <w:bottom w:val="single" w:sz="8" w:space="0" w:color="auto"/>
              <w:right w:val="single" w:sz="8" w:space="0" w:color="auto"/>
            </w:tcBorders>
          </w:tcPr>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25,421</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15,226</w:t>
            </w:r>
          </w:p>
        </w:tc>
      </w:tr>
      <w:tr w:rsidR="00030318" w:rsidRPr="00307A07" w:rsidTr="00030318">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Paid up Capital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1037" w:type="dxa"/>
            <w:tcBorders>
              <w:top w:val="nil"/>
              <w:left w:val="nil"/>
              <w:bottom w:val="single" w:sz="8" w:space="0" w:color="auto"/>
              <w:right w:val="single" w:sz="8" w:space="0" w:color="auto"/>
            </w:tcBorders>
          </w:tcPr>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12,242</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12,242</w:t>
            </w:r>
          </w:p>
        </w:tc>
      </w:tr>
      <w:tr w:rsidR="00030318" w:rsidRPr="00307A07" w:rsidTr="00030318">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Shareholders’ Equity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85,599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98,987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100,913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142,135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151,786</w:t>
            </w:r>
          </w:p>
        </w:tc>
        <w:tc>
          <w:tcPr>
            <w:tcW w:w="1037" w:type="dxa"/>
            <w:tcBorders>
              <w:top w:val="nil"/>
              <w:left w:val="nil"/>
              <w:bottom w:val="single" w:sz="8" w:space="0" w:color="auto"/>
              <w:right w:val="single" w:sz="8" w:space="0" w:color="auto"/>
            </w:tcBorders>
          </w:tcPr>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159,307</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151,269</w:t>
            </w:r>
          </w:p>
        </w:tc>
      </w:tr>
      <w:tr w:rsidR="00030318" w:rsidRPr="00307A07" w:rsidTr="00030318">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lastRenderedPageBreak/>
              <w:t>Total Assets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960,210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1,083,632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1,111,414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1,400,651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1,577,551</w:t>
            </w:r>
          </w:p>
        </w:tc>
        <w:tc>
          <w:tcPr>
            <w:tcW w:w="1037" w:type="dxa"/>
            <w:tcBorders>
              <w:top w:val="nil"/>
              <w:left w:val="nil"/>
              <w:bottom w:val="single" w:sz="8" w:space="0" w:color="auto"/>
              <w:right w:val="single" w:sz="8" w:space="0" w:color="auto"/>
            </w:tcBorders>
          </w:tcPr>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2,007,381</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1,889,599</w:t>
            </w:r>
          </w:p>
        </w:tc>
      </w:tr>
      <w:tr w:rsidR="00030318" w:rsidRPr="00307A07" w:rsidTr="00030318">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Earnings per share (Rs.)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17.91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21.02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0318" w:rsidRPr="00307A07" w:rsidRDefault="00030318" w:rsidP="00030318">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22.65</w:t>
            </w:r>
          </w:p>
        </w:tc>
        <w:tc>
          <w:tcPr>
            <w:tcW w:w="1037" w:type="dxa"/>
            <w:tcBorders>
              <w:top w:val="nil"/>
              <w:left w:val="nil"/>
              <w:bottom w:val="single" w:sz="8" w:space="0" w:color="auto"/>
              <w:right w:val="single" w:sz="8" w:space="0" w:color="auto"/>
            </w:tcBorders>
          </w:tcPr>
          <w:p w:rsidR="00030318" w:rsidRPr="00307A07"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20.77</w:t>
            </w:r>
          </w:p>
        </w:tc>
        <w:tc>
          <w:tcPr>
            <w:tcW w:w="1037" w:type="dxa"/>
            <w:tcBorders>
              <w:top w:val="nil"/>
              <w:left w:val="nil"/>
              <w:bottom w:val="single" w:sz="8" w:space="0" w:color="auto"/>
              <w:right w:val="single" w:sz="8" w:space="0" w:color="auto"/>
            </w:tcBorders>
          </w:tcPr>
          <w:p w:rsidR="00030318" w:rsidRDefault="00030318" w:rsidP="00030318">
            <w:pPr>
              <w:widowControl/>
              <w:autoSpaceDE/>
              <w:autoSpaceDN/>
              <w:jc w:val="both"/>
              <w:rPr>
                <w:rFonts w:eastAsia="Times New Roman"/>
                <w:color w:val="222222"/>
                <w:sz w:val="20"/>
                <w:szCs w:val="20"/>
                <w:lang w:bidi="ar-SA"/>
              </w:rPr>
            </w:pPr>
            <w:r>
              <w:rPr>
                <w:rFonts w:eastAsia="Times New Roman"/>
                <w:color w:val="222222"/>
                <w:sz w:val="20"/>
                <w:szCs w:val="20"/>
                <w:lang w:bidi="ar-SA"/>
              </w:rPr>
              <w:t>12.44</w:t>
            </w:r>
          </w:p>
        </w:tc>
      </w:tr>
    </w:tbl>
    <w:p w:rsidR="00F810B4" w:rsidRDefault="00F810B4" w:rsidP="00F810B4">
      <w:pPr>
        <w:pStyle w:val="BodyText"/>
        <w:rPr>
          <w:b/>
        </w:rPr>
      </w:pPr>
    </w:p>
    <w:p w:rsidR="00F810B4" w:rsidRDefault="00F810B4" w:rsidP="00F810B4">
      <w:pPr>
        <w:pStyle w:val="BodyText"/>
        <w:rPr>
          <w:b/>
        </w:rPr>
      </w:pPr>
    </w:p>
    <w:p w:rsidR="00F810B4" w:rsidRDefault="00F810B4" w:rsidP="00F810B4">
      <w:pPr>
        <w:pStyle w:val="BodyText"/>
        <w:rPr>
          <w:b/>
        </w:rPr>
      </w:pPr>
    </w:p>
    <w:p w:rsidR="00F810B4" w:rsidRDefault="00F810B4" w:rsidP="00F810B4">
      <w:pPr>
        <w:pStyle w:val="BodyText"/>
        <w:rPr>
          <w:b/>
        </w:rPr>
      </w:pPr>
    </w:p>
    <w:p w:rsidR="00F810B4" w:rsidRDefault="00F810B4" w:rsidP="00F810B4">
      <w:pPr>
        <w:pStyle w:val="BodyText"/>
        <w:rPr>
          <w:b/>
        </w:rPr>
      </w:pPr>
    </w:p>
    <w:p w:rsidR="00030318" w:rsidRDefault="00030318" w:rsidP="00F810B4">
      <w:pPr>
        <w:pStyle w:val="BodyText"/>
        <w:rPr>
          <w:b/>
        </w:rPr>
      </w:pPr>
      <w:r>
        <w:rPr>
          <w:b/>
        </w:rPr>
        <w:tab/>
      </w:r>
    </w:p>
    <w:tbl>
      <w:tblPr>
        <w:tblW w:w="5040" w:type="dxa"/>
        <w:tblInd w:w="825" w:type="dxa"/>
        <w:tblCellMar>
          <w:left w:w="0" w:type="dxa"/>
          <w:right w:w="0" w:type="dxa"/>
        </w:tblCellMar>
        <w:tblLook w:val="04A0" w:firstRow="1" w:lastRow="0" w:firstColumn="1" w:lastColumn="0" w:noHBand="0" w:noVBand="1"/>
      </w:tblPr>
      <w:tblGrid>
        <w:gridCol w:w="5040"/>
      </w:tblGrid>
      <w:tr w:rsidR="00030318" w:rsidRPr="00586C1D" w:rsidTr="00030318">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hideMark/>
          </w:tcPr>
          <w:p w:rsidR="00030318" w:rsidRPr="00586C1D" w:rsidRDefault="00030318" w:rsidP="00030318">
            <w:pPr>
              <w:widowControl/>
              <w:autoSpaceDE/>
              <w:autoSpaceDN/>
              <w:jc w:val="center"/>
              <w:rPr>
                <w:rFonts w:ascii="Calibri" w:eastAsia="Times New Roman" w:hAnsi="Calibri" w:cs="Calibri"/>
                <w:b/>
                <w:bCs/>
                <w:color w:val="FFFFFF"/>
                <w:lang w:bidi="ar-SA"/>
              </w:rPr>
            </w:pPr>
            <w:r w:rsidRPr="00586C1D">
              <w:rPr>
                <w:rFonts w:ascii="Calibri" w:eastAsia="Times New Roman" w:hAnsi="Calibri" w:cs="Calibri"/>
                <w:b/>
                <w:bCs/>
                <w:color w:val="FFFFFF"/>
                <w:lang w:bidi="ar-SA"/>
              </w:rPr>
              <w:t>Associated Companies * </w:t>
            </w:r>
          </w:p>
        </w:tc>
      </w:tr>
      <w:tr w:rsidR="00030318" w:rsidRPr="00586C1D" w:rsidTr="00030318">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United Bank Limited</w:t>
            </w:r>
          </w:p>
        </w:tc>
      </w:tr>
      <w:tr w:rsidR="00030318" w:rsidRPr="00586C1D" w:rsidTr="00030318">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Al Ameen Islamic Financial Services Limited</w:t>
            </w:r>
          </w:p>
        </w:tc>
      </w:tr>
      <w:tr w:rsidR="00030318" w:rsidRPr="00586C1D" w:rsidTr="00030318">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UBL Insurers Limited </w:t>
            </w:r>
          </w:p>
        </w:tc>
      </w:tr>
      <w:tr w:rsidR="00030318" w:rsidRPr="00586C1D" w:rsidTr="00030318">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Pakistan Mortgage Refinance Company Limited</w:t>
            </w:r>
          </w:p>
        </w:tc>
      </w:tr>
      <w:tr w:rsidR="00030318" w:rsidRPr="00586C1D" w:rsidTr="00030318">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UBL Bank (Tanzania) Limited</w:t>
            </w:r>
          </w:p>
        </w:tc>
      </w:tr>
      <w:tr w:rsidR="00030318" w:rsidRPr="00586C1D" w:rsidTr="00030318">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318" w:rsidRPr="00586C1D" w:rsidRDefault="00030318" w:rsidP="00030318">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Mutual Funds Association Of Pakistan</w:t>
            </w:r>
          </w:p>
        </w:tc>
      </w:tr>
    </w:tbl>
    <w:p w:rsidR="00030318" w:rsidRDefault="00030318" w:rsidP="00F810B4">
      <w:pPr>
        <w:pStyle w:val="BodyText"/>
        <w:rPr>
          <w:b/>
        </w:rPr>
      </w:pPr>
    </w:p>
    <w:p w:rsidR="00F810B4" w:rsidRDefault="00F810B4" w:rsidP="00F810B4">
      <w:pPr>
        <w:pStyle w:val="BodyText"/>
        <w:rPr>
          <w:b/>
        </w:rPr>
      </w:pPr>
    </w:p>
    <w:p w:rsidR="0070181A" w:rsidRDefault="0070181A" w:rsidP="0070181A">
      <w:pPr>
        <w:pStyle w:val="ListParagraph"/>
        <w:tabs>
          <w:tab w:val="left" w:pos="1961"/>
          <w:tab w:val="left" w:pos="1962"/>
        </w:tabs>
        <w:spacing w:before="168"/>
        <w:jc w:val="both"/>
        <w:rPr>
          <w:b/>
        </w:rPr>
      </w:pPr>
      <w:r w:rsidRPr="003948BA">
        <w:rPr>
          <w:b/>
          <w:i/>
        </w:rPr>
        <w:t>3.3</w:t>
      </w:r>
      <w:r w:rsidRPr="003948BA">
        <w:rPr>
          <w:b/>
          <w:i/>
        </w:rPr>
        <w:tab/>
        <w:t xml:space="preserve">Existing </w:t>
      </w:r>
      <w:r w:rsidRPr="003948BA">
        <w:rPr>
          <w:b/>
        </w:rPr>
        <w:t>Schemes under Management and their</w:t>
      </w:r>
      <w:r w:rsidRPr="003948BA">
        <w:rPr>
          <w:b/>
          <w:spacing w:val="-13"/>
        </w:rPr>
        <w:t xml:space="preserve"> </w:t>
      </w:r>
      <w:r w:rsidRPr="003948BA">
        <w:rPr>
          <w:b/>
        </w:rPr>
        <w:t>performance</w:t>
      </w:r>
    </w:p>
    <w:p w:rsidR="00F810B4" w:rsidRDefault="00F810B4" w:rsidP="00F810B4">
      <w:pPr>
        <w:ind w:left="621"/>
        <w:rPr>
          <w:b/>
          <w:sz w:val="20"/>
        </w:rPr>
      </w:pPr>
    </w:p>
    <w:p w:rsidR="00030318" w:rsidRDefault="00030318" w:rsidP="00030318">
      <w:pPr>
        <w:ind w:left="621"/>
        <w:rPr>
          <w:b/>
          <w:sz w:val="20"/>
        </w:rPr>
      </w:pPr>
      <w:r>
        <w:rPr>
          <w:b/>
          <w:sz w:val="20"/>
        </w:rPr>
        <w:t>UBL LIQUIDITY PLUS FUND (ULPF)</w:t>
      </w:r>
    </w:p>
    <w:p w:rsidR="00030318" w:rsidRDefault="00030318" w:rsidP="00030318">
      <w:pPr>
        <w:pStyle w:val="BodyText"/>
        <w:spacing w:before="4"/>
        <w:rPr>
          <w:b/>
          <w:sz w:val="14"/>
        </w:rPr>
      </w:pPr>
    </w:p>
    <w:p w:rsidR="00030318" w:rsidRDefault="00030318" w:rsidP="00030318">
      <w:pPr>
        <w:pStyle w:val="BodyText"/>
        <w:spacing w:line="20" w:lineRule="exact"/>
        <w:ind w:left="727"/>
        <w:rPr>
          <w:sz w:val="2"/>
        </w:rPr>
      </w:pPr>
      <w:r>
        <w:rPr>
          <w:rFonts w:ascii="Times New Roman"/>
          <w:spacing w:val="5"/>
          <w:sz w:val="2"/>
        </w:rPr>
        <w:t xml:space="preserve"> </w:t>
      </w:r>
      <w:r>
        <w:rPr>
          <w:noProof/>
          <w:spacing w:val="5"/>
          <w:sz w:val="2"/>
          <w:lang w:bidi="ar-SA"/>
        </w:rPr>
        <mc:AlternateContent>
          <mc:Choice Requires="wpg">
            <w:drawing>
              <wp:inline distT="0" distB="0" distL="0" distR="0" wp14:anchorId="3F99C971" wp14:editId="09D1D310">
                <wp:extent cx="6072505" cy="6350"/>
                <wp:effectExtent l="13970" t="10795" r="9525" b="1905"/>
                <wp:docPr id="7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6350"/>
                          <a:chOff x="0" y="0"/>
                          <a:chExt cx="9563" cy="10"/>
                        </a:xfrm>
                      </wpg:grpSpPr>
                      <wps:wsp>
                        <wps:cNvPr id="73" name="Line 113"/>
                        <wps:cNvCnPr>
                          <a:cxnSpLocks noChangeShapeType="1"/>
                        </wps:cNvCnPr>
                        <wps:spPr bwMode="auto">
                          <a:xfrm>
                            <a:off x="0" y="5"/>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60EFED" id="Group 112" o:spid="_x0000_s1026" style="width:478.15pt;height:.5pt;mso-position-horizontal-relative:char;mso-position-vertical-relative:line" coordsize="9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">
                <v:line id="Line 113" o:spid="_x0000_s1027" style="position:absolute;visibility:visible;mso-wrap-style:square" from="0,5" to="9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anchorlock/>
              </v:group>
            </w:pict>
          </mc:Fallback>
        </mc:AlternateContent>
      </w:r>
    </w:p>
    <w:p w:rsidR="00030318" w:rsidRDefault="00030318" w:rsidP="00030318">
      <w:pPr>
        <w:pStyle w:val="BodyText"/>
        <w:ind w:left="621" w:right="906"/>
        <w:jc w:val="both"/>
      </w:pPr>
      <w:r>
        <w:t>UBL Liquidity Plus Fund (ULPF) is an open-end money market fund that is especially designed for corporate and individual investors who are looking for a safe investment avenue to park their cash. The fund offers competitive, tax-free returns on investment and also provides a ‘Same Day Redemption Facility’ (subject to certain conditions) to facilitate investors.</w:t>
      </w:r>
    </w:p>
    <w:p w:rsidR="00030318" w:rsidRDefault="00030318" w:rsidP="00030318">
      <w:pPr>
        <w:pStyle w:val="BodyText"/>
        <w:spacing w:before="2"/>
        <w:rPr>
          <w:sz w:val="9"/>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09"/>
        <w:gridCol w:w="2521"/>
      </w:tblGrid>
      <w:tr w:rsidR="00030318" w:rsidTr="00030318">
        <w:trPr>
          <w:trHeight w:val="230"/>
        </w:trPr>
        <w:tc>
          <w:tcPr>
            <w:tcW w:w="3512" w:type="dxa"/>
          </w:tcPr>
          <w:p w:rsidR="00030318" w:rsidRDefault="00030318" w:rsidP="00030318">
            <w:pPr>
              <w:pStyle w:val="TableParagraph"/>
              <w:spacing w:line="210" w:lineRule="exact"/>
              <w:rPr>
                <w:sz w:val="20"/>
              </w:rPr>
            </w:pPr>
            <w:r>
              <w:rPr>
                <w:sz w:val="20"/>
              </w:rPr>
              <w:t>Date of launching</w:t>
            </w:r>
          </w:p>
        </w:tc>
        <w:tc>
          <w:tcPr>
            <w:tcW w:w="2809" w:type="dxa"/>
          </w:tcPr>
          <w:p w:rsidR="00030318" w:rsidRDefault="00030318" w:rsidP="00030318">
            <w:pPr>
              <w:pStyle w:val="TableParagraph"/>
              <w:spacing w:line="210" w:lineRule="exact"/>
              <w:ind w:left="105"/>
              <w:rPr>
                <w:sz w:val="20"/>
              </w:rPr>
            </w:pPr>
            <w:r>
              <w:rPr>
                <w:sz w:val="20"/>
              </w:rPr>
              <w:t>21 June 2009</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Par Value of units</w:t>
            </w:r>
          </w:p>
        </w:tc>
        <w:tc>
          <w:tcPr>
            <w:tcW w:w="2809" w:type="dxa"/>
          </w:tcPr>
          <w:p w:rsidR="00030318" w:rsidRDefault="00030318" w:rsidP="00030318">
            <w:pPr>
              <w:pStyle w:val="TableParagraph"/>
              <w:spacing w:line="210" w:lineRule="exact"/>
              <w:ind w:left="105"/>
              <w:rPr>
                <w:sz w:val="20"/>
              </w:rPr>
            </w:pPr>
            <w:r>
              <w:rPr>
                <w:sz w:val="20"/>
              </w:rPr>
              <w:t>Rs. 100</w:t>
            </w:r>
          </w:p>
        </w:tc>
        <w:tc>
          <w:tcPr>
            <w:tcW w:w="2521" w:type="dxa"/>
          </w:tcPr>
          <w:p w:rsidR="00030318" w:rsidRDefault="00030318" w:rsidP="00030318">
            <w:pPr>
              <w:pStyle w:val="TableParagraph"/>
              <w:ind w:left="0"/>
              <w:rPr>
                <w:rFonts w:ascii="Times New Roman"/>
                <w:sz w:val="16"/>
              </w:rPr>
            </w:pPr>
          </w:p>
        </w:tc>
      </w:tr>
      <w:tr w:rsidR="00030318" w:rsidTr="00030318">
        <w:trPr>
          <w:trHeight w:val="229"/>
        </w:trPr>
        <w:tc>
          <w:tcPr>
            <w:tcW w:w="3512" w:type="dxa"/>
          </w:tcPr>
          <w:p w:rsidR="00030318" w:rsidRDefault="00030318" w:rsidP="00030318">
            <w:pPr>
              <w:pStyle w:val="TableParagraph"/>
              <w:spacing w:line="210" w:lineRule="exact"/>
              <w:rPr>
                <w:sz w:val="20"/>
              </w:rPr>
            </w:pPr>
            <w:r>
              <w:rPr>
                <w:sz w:val="20"/>
              </w:rPr>
              <w:t>Net Assets (as at Feb 19 2019)</w:t>
            </w:r>
          </w:p>
        </w:tc>
        <w:tc>
          <w:tcPr>
            <w:tcW w:w="2809" w:type="dxa"/>
          </w:tcPr>
          <w:p w:rsidR="00030318" w:rsidRDefault="00030318" w:rsidP="00030318">
            <w:pPr>
              <w:pStyle w:val="TableParagraph"/>
              <w:spacing w:line="210" w:lineRule="exact"/>
              <w:ind w:left="105"/>
              <w:rPr>
                <w:sz w:val="20"/>
              </w:rPr>
            </w:pPr>
            <w:r>
              <w:rPr>
                <w:sz w:val="20"/>
              </w:rPr>
              <w:t>Rs. 12,725 million</w:t>
            </w:r>
          </w:p>
        </w:tc>
        <w:tc>
          <w:tcPr>
            <w:tcW w:w="2521" w:type="dxa"/>
          </w:tcPr>
          <w:p w:rsidR="00030318" w:rsidRDefault="00030318" w:rsidP="00030318">
            <w:pPr>
              <w:pStyle w:val="TableParagraph"/>
              <w:ind w:left="0"/>
              <w:rPr>
                <w:rFonts w:ascii="Times New Roman"/>
                <w:sz w:val="16"/>
              </w:rPr>
            </w:pPr>
          </w:p>
        </w:tc>
      </w:tr>
      <w:tr w:rsidR="00030318" w:rsidTr="00030318">
        <w:trPr>
          <w:trHeight w:val="229"/>
        </w:trPr>
        <w:tc>
          <w:tcPr>
            <w:tcW w:w="3512" w:type="dxa"/>
          </w:tcPr>
          <w:p w:rsidR="00030318" w:rsidRDefault="00030318" w:rsidP="00030318">
            <w:pPr>
              <w:pStyle w:val="TableParagraph"/>
              <w:spacing w:line="210" w:lineRule="exact"/>
              <w:rPr>
                <w:sz w:val="20"/>
              </w:rPr>
            </w:pPr>
            <w:r>
              <w:rPr>
                <w:sz w:val="20"/>
              </w:rPr>
              <w:t>Net Assets (as at June 30 2018)</w:t>
            </w:r>
          </w:p>
        </w:tc>
        <w:tc>
          <w:tcPr>
            <w:tcW w:w="2809" w:type="dxa"/>
          </w:tcPr>
          <w:p w:rsidR="00030318" w:rsidRDefault="00030318" w:rsidP="00030318">
            <w:pPr>
              <w:pStyle w:val="TableParagraph"/>
              <w:spacing w:line="210" w:lineRule="exact"/>
              <w:ind w:left="105"/>
              <w:rPr>
                <w:sz w:val="20"/>
              </w:rPr>
            </w:pPr>
            <w:r>
              <w:rPr>
                <w:sz w:val="20"/>
              </w:rPr>
              <w:t>Rs. 14 billion</w:t>
            </w:r>
          </w:p>
        </w:tc>
        <w:tc>
          <w:tcPr>
            <w:tcW w:w="2521" w:type="dxa"/>
          </w:tcPr>
          <w:p w:rsidR="00030318" w:rsidRDefault="00030318" w:rsidP="00030318">
            <w:pPr>
              <w:pStyle w:val="TableParagraph"/>
              <w:ind w:left="0"/>
              <w:rPr>
                <w:rFonts w:ascii="Times New Roman"/>
                <w:sz w:val="16"/>
              </w:rPr>
            </w:pPr>
          </w:p>
        </w:tc>
      </w:tr>
      <w:tr w:rsidR="00030318" w:rsidTr="00030318">
        <w:trPr>
          <w:trHeight w:val="229"/>
        </w:trPr>
        <w:tc>
          <w:tcPr>
            <w:tcW w:w="3512" w:type="dxa"/>
          </w:tcPr>
          <w:p w:rsidR="00030318" w:rsidRDefault="00030318" w:rsidP="00030318">
            <w:pPr>
              <w:pStyle w:val="TableParagraph"/>
              <w:spacing w:line="210" w:lineRule="exact"/>
              <w:rPr>
                <w:sz w:val="20"/>
              </w:rPr>
            </w:pPr>
            <w:r>
              <w:rPr>
                <w:sz w:val="20"/>
              </w:rPr>
              <w:t>Net Assets (as at 30 June 2017)</w:t>
            </w:r>
          </w:p>
        </w:tc>
        <w:tc>
          <w:tcPr>
            <w:tcW w:w="2809" w:type="dxa"/>
          </w:tcPr>
          <w:p w:rsidR="00030318" w:rsidRDefault="00030318" w:rsidP="00030318">
            <w:pPr>
              <w:pStyle w:val="TableParagraph"/>
              <w:spacing w:line="210" w:lineRule="exact"/>
              <w:ind w:left="105"/>
              <w:rPr>
                <w:sz w:val="20"/>
              </w:rPr>
            </w:pPr>
            <w:r>
              <w:rPr>
                <w:sz w:val="20"/>
              </w:rPr>
              <w:t>Rs. 4,082 million</w:t>
            </w:r>
          </w:p>
        </w:tc>
        <w:tc>
          <w:tcPr>
            <w:tcW w:w="2521" w:type="dxa"/>
          </w:tcPr>
          <w:p w:rsidR="00030318" w:rsidRDefault="00030318" w:rsidP="00030318">
            <w:pPr>
              <w:pStyle w:val="TableParagraph"/>
              <w:ind w:left="0"/>
              <w:rPr>
                <w:rFonts w:ascii="Times New Roman"/>
                <w:sz w:val="16"/>
              </w:rPr>
            </w:pPr>
          </w:p>
        </w:tc>
      </w:tr>
      <w:tr w:rsidR="00030318" w:rsidTr="00030318">
        <w:trPr>
          <w:trHeight w:val="460"/>
        </w:trPr>
        <w:tc>
          <w:tcPr>
            <w:tcW w:w="3512" w:type="dxa"/>
          </w:tcPr>
          <w:p w:rsidR="00030318" w:rsidRDefault="00030318" w:rsidP="00030318">
            <w:pPr>
              <w:pStyle w:val="TableParagraph"/>
              <w:spacing w:line="230" w:lineRule="exact"/>
              <w:ind w:right="246"/>
              <w:rPr>
                <w:sz w:val="20"/>
              </w:rPr>
            </w:pPr>
            <w:r>
              <w:rPr>
                <w:sz w:val="20"/>
              </w:rPr>
              <w:t>Net Assets (as at 30 November 2016)</w:t>
            </w:r>
          </w:p>
        </w:tc>
        <w:tc>
          <w:tcPr>
            <w:tcW w:w="2809" w:type="dxa"/>
          </w:tcPr>
          <w:p w:rsidR="00030318" w:rsidRDefault="00030318" w:rsidP="00030318">
            <w:pPr>
              <w:pStyle w:val="TableParagraph"/>
              <w:spacing w:before="112"/>
              <w:ind w:left="105"/>
              <w:rPr>
                <w:sz w:val="20"/>
              </w:rPr>
            </w:pPr>
            <w:r>
              <w:rPr>
                <w:sz w:val="20"/>
              </w:rPr>
              <w:t>Rs. 3450 million</w:t>
            </w:r>
          </w:p>
        </w:tc>
        <w:tc>
          <w:tcPr>
            <w:tcW w:w="2521" w:type="dxa"/>
          </w:tcPr>
          <w:p w:rsidR="00030318" w:rsidRDefault="00030318" w:rsidP="00030318">
            <w:pPr>
              <w:pStyle w:val="TableParagraph"/>
              <w:ind w:left="0"/>
              <w:rPr>
                <w:rFonts w:ascii="Times New Roman"/>
                <w:sz w:val="18"/>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Net Assets (as at 30 June 2015)</w:t>
            </w:r>
          </w:p>
        </w:tc>
        <w:tc>
          <w:tcPr>
            <w:tcW w:w="2809" w:type="dxa"/>
          </w:tcPr>
          <w:p w:rsidR="00030318" w:rsidRDefault="00030318" w:rsidP="00030318">
            <w:pPr>
              <w:pStyle w:val="TableParagraph"/>
              <w:spacing w:line="210" w:lineRule="exact"/>
              <w:ind w:left="105"/>
              <w:rPr>
                <w:sz w:val="20"/>
              </w:rPr>
            </w:pPr>
            <w:r>
              <w:rPr>
                <w:sz w:val="20"/>
              </w:rPr>
              <w:t>Rs. 4,466 million</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Net Assets (as at 30 June 2014)</w:t>
            </w:r>
          </w:p>
        </w:tc>
        <w:tc>
          <w:tcPr>
            <w:tcW w:w="2809" w:type="dxa"/>
          </w:tcPr>
          <w:p w:rsidR="00030318" w:rsidRDefault="00030318" w:rsidP="00030318">
            <w:pPr>
              <w:pStyle w:val="TableParagraph"/>
              <w:spacing w:line="210" w:lineRule="exact"/>
              <w:ind w:left="105"/>
              <w:rPr>
                <w:sz w:val="20"/>
              </w:rPr>
            </w:pPr>
            <w:r>
              <w:rPr>
                <w:sz w:val="20"/>
              </w:rPr>
              <w:t>Rs. 10,569 million</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Net Assets (as at 30 June 2013)</w:t>
            </w:r>
          </w:p>
        </w:tc>
        <w:tc>
          <w:tcPr>
            <w:tcW w:w="2809" w:type="dxa"/>
          </w:tcPr>
          <w:p w:rsidR="00030318" w:rsidRDefault="00030318" w:rsidP="00030318">
            <w:pPr>
              <w:pStyle w:val="TableParagraph"/>
              <w:spacing w:line="210" w:lineRule="exact"/>
              <w:ind w:left="105"/>
              <w:rPr>
                <w:sz w:val="20"/>
              </w:rPr>
            </w:pPr>
            <w:r>
              <w:rPr>
                <w:sz w:val="20"/>
              </w:rPr>
              <w:t>Rs. 15,680.million</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Net Assets (as at 30 June 2012)</w:t>
            </w:r>
          </w:p>
        </w:tc>
        <w:tc>
          <w:tcPr>
            <w:tcW w:w="2809" w:type="dxa"/>
          </w:tcPr>
          <w:p w:rsidR="00030318" w:rsidRDefault="00030318" w:rsidP="00030318">
            <w:pPr>
              <w:pStyle w:val="TableParagraph"/>
              <w:spacing w:line="210" w:lineRule="exact"/>
              <w:ind w:left="105"/>
              <w:rPr>
                <w:sz w:val="20"/>
              </w:rPr>
            </w:pPr>
            <w:r>
              <w:rPr>
                <w:sz w:val="20"/>
              </w:rPr>
              <w:t>Rs. 15,588 million</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Net Assets (as at 30 June 2011)</w:t>
            </w:r>
          </w:p>
        </w:tc>
        <w:tc>
          <w:tcPr>
            <w:tcW w:w="2809" w:type="dxa"/>
          </w:tcPr>
          <w:p w:rsidR="00030318" w:rsidRDefault="00030318" w:rsidP="00030318">
            <w:pPr>
              <w:pStyle w:val="TableParagraph"/>
              <w:spacing w:line="210" w:lineRule="exact"/>
              <w:ind w:left="105"/>
              <w:rPr>
                <w:sz w:val="20"/>
              </w:rPr>
            </w:pPr>
            <w:r>
              <w:rPr>
                <w:sz w:val="20"/>
              </w:rPr>
              <w:t>Rs. 27,969 million</w:t>
            </w:r>
          </w:p>
        </w:tc>
        <w:tc>
          <w:tcPr>
            <w:tcW w:w="2521" w:type="dxa"/>
          </w:tcPr>
          <w:p w:rsidR="00030318" w:rsidRDefault="00030318" w:rsidP="00030318">
            <w:pPr>
              <w:pStyle w:val="TableParagraph"/>
              <w:ind w:left="0"/>
              <w:rPr>
                <w:rFonts w:ascii="Times New Roman"/>
                <w:sz w:val="16"/>
              </w:rPr>
            </w:pPr>
          </w:p>
        </w:tc>
      </w:tr>
      <w:tr w:rsidR="00030318" w:rsidTr="00030318">
        <w:trPr>
          <w:trHeight w:val="460"/>
        </w:trPr>
        <w:tc>
          <w:tcPr>
            <w:tcW w:w="3512" w:type="dxa"/>
          </w:tcPr>
          <w:p w:rsidR="00030318" w:rsidRDefault="00030318" w:rsidP="00030318">
            <w:pPr>
              <w:pStyle w:val="TableParagraph"/>
              <w:spacing w:before="1" w:line="230" w:lineRule="exact"/>
              <w:ind w:right="246"/>
              <w:rPr>
                <w:sz w:val="20"/>
              </w:rPr>
            </w:pPr>
            <w:r>
              <w:rPr>
                <w:sz w:val="20"/>
              </w:rPr>
              <w:t>Net Assets (as at 30 June 2010) Net Assets (as at 30 June 2009)</w:t>
            </w:r>
          </w:p>
        </w:tc>
        <w:tc>
          <w:tcPr>
            <w:tcW w:w="2809" w:type="dxa"/>
          </w:tcPr>
          <w:p w:rsidR="00030318" w:rsidRDefault="00030318" w:rsidP="00030318">
            <w:pPr>
              <w:pStyle w:val="TableParagraph"/>
              <w:spacing w:line="228" w:lineRule="exact"/>
              <w:ind w:left="105"/>
              <w:rPr>
                <w:sz w:val="20"/>
              </w:rPr>
            </w:pPr>
            <w:r>
              <w:rPr>
                <w:sz w:val="20"/>
              </w:rPr>
              <w:t>Rs. 7,838 Million</w:t>
            </w:r>
          </w:p>
          <w:p w:rsidR="00030318" w:rsidRDefault="00030318" w:rsidP="00030318">
            <w:pPr>
              <w:pStyle w:val="TableParagraph"/>
              <w:spacing w:line="213" w:lineRule="exact"/>
              <w:ind w:left="105"/>
              <w:rPr>
                <w:sz w:val="20"/>
              </w:rPr>
            </w:pPr>
            <w:r>
              <w:rPr>
                <w:sz w:val="20"/>
              </w:rPr>
              <w:t>Rs. 1,287 Million</w:t>
            </w:r>
          </w:p>
        </w:tc>
        <w:tc>
          <w:tcPr>
            <w:tcW w:w="2521" w:type="dxa"/>
          </w:tcPr>
          <w:p w:rsidR="00030318" w:rsidRDefault="00030318" w:rsidP="00030318">
            <w:pPr>
              <w:pStyle w:val="TableParagraph"/>
              <w:ind w:left="0"/>
              <w:rPr>
                <w:rFonts w:ascii="Times New Roman"/>
                <w:sz w:val="18"/>
              </w:rPr>
            </w:pPr>
          </w:p>
        </w:tc>
      </w:tr>
      <w:tr w:rsidR="00030318" w:rsidTr="00030318">
        <w:trPr>
          <w:trHeight w:val="225"/>
        </w:trPr>
        <w:tc>
          <w:tcPr>
            <w:tcW w:w="3512" w:type="dxa"/>
            <w:tcBorders>
              <w:bottom w:val="nil"/>
            </w:tcBorders>
          </w:tcPr>
          <w:p w:rsidR="00030318" w:rsidRDefault="00030318" w:rsidP="00030318">
            <w:pPr>
              <w:pStyle w:val="TableParagraph"/>
              <w:spacing w:line="206" w:lineRule="exact"/>
              <w:rPr>
                <w:sz w:val="20"/>
              </w:rPr>
            </w:pPr>
            <w:r>
              <w:rPr>
                <w:sz w:val="20"/>
              </w:rPr>
              <w:t>NAV (as at Feb 19, 2019)</w:t>
            </w:r>
          </w:p>
        </w:tc>
        <w:tc>
          <w:tcPr>
            <w:tcW w:w="2809" w:type="dxa"/>
            <w:tcBorders>
              <w:bottom w:val="nil"/>
            </w:tcBorders>
          </w:tcPr>
          <w:p w:rsidR="00030318" w:rsidRDefault="00030318" w:rsidP="00030318">
            <w:pPr>
              <w:pStyle w:val="TableParagraph"/>
              <w:spacing w:line="206" w:lineRule="exact"/>
              <w:ind w:left="105"/>
              <w:rPr>
                <w:sz w:val="20"/>
              </w:rPr>
            </w:pPr>
            <w:r>
              <w:rPr>
                <w:sz w:val="20"/>
              </w:rPr>
              <w:t xml:space="preserve">Rs. </w:t>
            </w:r>
            <w:r w:rsidRPr="00E65CA8">
              <w:rPr>
                <w:sz w:val="20"/>
              </w:rPr>
              <w:t>100.922</w:t>
            </w:r>
          </w:p>
        </w:tc>
        <w:tc>
          <w:tcPr>
            <w:tcW w:w="2521" w:type="dxa"/>
          </w:tcPr>
          <w:p w:rsidR="00030318" w:rsidRDefault="00030318" w:rsidP="00030318">
            <w:pPr>
              <w:pStyle w:val="TableParagraph"/>
              <w:ind w:left="0"/>
              <w:rPr>
                <w:rFonts w:ascii="Times New Roman"/>
                <w:sz w:val="18"/>
              </w:rPr>
            </w:pPr>
          </w:p>
        </w:tc>
      </w:tr>
      <w:tr w:rsidR="00030318" w:rsidTr="00030318">
        <w:trPr>
          <w:trHeight w:val="225"/>
        </w:trPr>
        <w:tc>
          <w:tcPr>
            <w:tcW w:w="3512" w:type="dxa"/>
            <w:tcBorders>
              <w:bottom w:val="nil"/>
            </w:tcBorders>
          </w:tcPr>
          <w:p w:rsidR="00030318" w:rsidRDefault="00030318" w:rsidP="00030318">
            <w:pPr>
              <w:pStyle w:val="TableParagraph"/>
              <w:spacing w:line="206" w:lineRule="exact"/>
              <w:rPr>
                <w:sz w:val="20"/>
              </w:rPr>
            </w:pPr>
            <w:r>
              <w:rPr>
                <w:sz w:val="20"/>
              </w:rPr>
              <w:t>NAV (as at June30 2017)</w:t>
            </w:r>
          </w:p>
        </w:tc>
        <w:tc>
          <w:tcPr>
            <w:tcW w:w="2809" w:type="dxa"/>
            <w:tcBorders>
              <w:bottom w:val="nil"/>
            </w:tcBorders>
          </w:tcPr>
          <w:p w:rsidR="00030318" w:rsidRDefault="00030318" w:rsidP="00030318">
            <w:pPr>
              <w:pStyle w:val="TableParagraph"/>
              <w:spacing w:line="206" w:lineRule="exact"/>
              <w:ind w:left="105"/>
              <w:rPr>
                <w:sz w:val="20"/>
              </w:rPr>
            </w:pPr>
            <w:r>
              <w:rPr>
                <w:sz w:val="20"/>
              </w:rPr>
              <w:t>Rs. 100.6834</w:t>
            </w:r>
          </w:p>
        </w:tc>
        <w:tc>
          <w:tcPr>
            <w:tcW w:w="2521" w:type="dxa"/>
            <w:vMerge w:val="restart"/>
          </w:tcPr>
          <w:p w:rsidR="00030318" w:rsidRDefault="00030318" w:rsidP="00030318">
            <w:pPr>
              <w:pStyle w:val="TableParagraph"/>
              <w:ind w:left="0"/>
              <w:rPr>
                <w:rFonts w:ascii="Times New Roman"/>
                <w:sz w:val="18"/>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June 30 2016)</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Rs. 100.5229</w:t>
            </w:r>
          </w:p>
        </w:tc>
        <w:tc>
          <w:tcPr>
            <w:tcW w:w="2521" w:type="dxa"/>
            <w:vMerge/>
            <w:tcBorders>
              <w:top w:val="nil"/>
            </w:tcBorders>
          </w:tcPr>
          <w:p w:rsidR="00030318" w:rsidRDefault="00030318" w:rsidP="00030318">
            <w:pPr>
              <w:rPr>
                <w:sz w:val="2"/>
                <w:szCs w:val="2"/>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NAV (as at June 30 2015)</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Rs. 100.468</w:t>
            </w:r>
          </w:p>
        </w:tc>
        <w:tc>
          <w:tcPr>
            <w:tcW w:w="2521" w:type="dxa"/>
            <w:vMerge/>
            <w:tcBorders>
              <w:top w:val="nil"/>
            </w:tcBorders>
          </w:tcPr>
          <w:p w:rsidR="00030318" w:rsidRDefault="00030318" w:rsidP="00030318">
            <w:pPr>
              <w:rPr>
                <w:sz w:val="2"/>
                <w:szCs w:val="2"/>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NAV (as at June 30 2014)</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Rs. 100.3844</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June 30, 2013)</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Rs. 100.1577</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June 30, 2012)</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Rs. 100.3527</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June 30, 2011</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Rs. 100.2122</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June 30 2010)</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Rs. 102.95</w:t>
            </w:r>
          </w:p>
        </w:tc>
        <w:tc>
          <w:tcPr>
            <w:tcW w:w="2521" w:type="dxa"/>
            <w:vMerge/>
            <w:tcBorders>
              <w:top w:val="nil"/>
            </w:tcBorders>
          </w:tcPr>
          <w:p w:rsidR="00030318" w:rsidRDefault="00030318" w:rsidP="00030318">
            <w:pPr>
              <w:rPr>
                <w:sz w:val="2"/>
                <w:szCs w:val="2"/>
              </w:rPr>
            </w:pPr>
          </w:p>
        </w:tc>
      </w:tr>
      <w:tr w:rsidR="00030318" w:rsidTr="00030318">
        <w:trPr>
          <w:trHeight w:val="222"/>
        </w:trPr>
        <w:tc>
          <w:tcPr>
            <w:tcW w:w="3512" w:type="dxa"/>
            <w:tcBorders>
              <w:top w:val="nil"/>
            </w:tcBorders>
          </w:tcPr>
          <w:p w:rsidR="00030318" w:rsidRDefault="00030318" w:rsidP="00030318">
            <w:pPr>
              <w:pStyle w:val="TableParagraph"/>
              <w:spacing w:line="202" w:lineRule="exact"/>
              <w:rPr>
                <w:sz w:val="20"/>
              </w:rPr>
            </w:pPr>
            <w:r>
              <w:rPr>
                <w:sz w:val="20"/>
              </w:rPr>
              <w:t>NAV (as at June 30 2009)</w:t>
            </w:r>
          </w:p>
        </w:tc>
        <w:tc>
          <w:tcPr>
            <w:tcW w:w="2809" w:type="dxa"/>
            <w:tcBorders>
              <w:top w:val="nil"/>
            </w:tcBorders>
          </w:tcPr>
          <w:p w:rsidR="00030318" w:rsidRDefault="00030318" w:rsidP="00030318">
            <w:pPr>
              <w:pStyle w:val="TableParagraph"/>
              <w:spacing w:line="202" w:lineRule="exact"/>
              <w:ind w:left="105"/>
              <w:rPr>
                <w:sz w:val="20"/>
              </w:rPr>
            </w:pPr>
            <w:r>
              <w:rPr>
                <w:sz w:val="20"/>
              </w:rPr>
              <w:t>Rs. 100.22</w:t>
            </w:r>
          </w:p>
        </w:tc>
        <w:tc>
          <w:tcPr>
            <w:tcW w:w="2521" w:type="dxa"/>
            <w:vMerge/>
            <w:tcBorders>
              <w:top w:val="nil"/>
            </w:tcBorders>
          </w:tcPr>
          <w:p w:rsidR="00030318" w:rsidRDefault="00030318" w:rsidP="00030318">
            <w:pPr>
              <w:rPr>
                <w:sz w:val="2"/>
                <w:szCs w:val="2"/>
              </w:rPr>
            </w:pPr>
          </w:p>
        </w:tc>
      </w:tr>
      <w:tr w:rsidR="00030318" w:rsidTr="00030318">
        <w:trPr>
          <w:trHeight w:val="460"/>
        </w:trPr>
        <w:tc>
          <w:tcPr>
            <w:tcW w:w="3512" w:type="dxa"/>
          </w:tcPr>
          <w:p w:rsidR="00030318" w:rsidRDefault="00030318" w:rsidP="00030318">
            <w:pPr>
              <w:pStyle w:val="TableParagraph"/>
              <w:spacing w:before="112"/>
              <w:rPr>
                <w:sz w:val="20"/>
              </w:rPr>
            </w:pPr>
            <w:r>
              <w:rPr>
                <w:sz w:val="20"/>
              </w:rPr>
              <w:t>Listing</w:t>
            </w:r>
          </w:p>
        </w:tc>
        <w:tc>
          <w:tcPr>
            <w:tcW w:w="2809" w:type="dxa"/>
          </w:tcPr>
          <w:p w:rsidR="00030318" w:rsidRDefault="00030318" w:rsidP="00030318">
            <w:pPr>
              <w:pStyle w:val="TableParagraph"/>
              <w:spacing w:line="229" w:lineRule="exact"/>
              <w:ind w:left="105"/>
              <w:rPr>
                <w:sz w:val="20"/>
              </w:rPr>
            </w:pPr>
            <w:r>
              <w:rPr>
                <w:sz w:val="20"/>
              </w:rPr>
              <w:t>Pakistan Stock Exchange</w:t>
            </w:r>
          </w:p>
        </w:tc>
        <w:tc>
          <w:tcPr>
            <w:tcW w:w="2521" w:type="dxa"/>
          </w:tcPr>
          <w:p w:rsidR="00030318" w:rsidRDefault="00030318" w:rsidP="00030318">
            <w:pPr>
              <w:pStyle w:val="TableParagraph"/>
              <w:ind w:left="0"/>
              <w:rPr>
                <w:rFonts w:ascii="Times New Roman"/>
                <w:sz w:val="18"/>
              </w:rPr>
            </w:pPr>
          </w:p>
        </w:tc>
      </w:tr>
      <w:tr w:rsidR="00030318" w:rsidTr="00030318">
        <w:trPr>
          <w:trHeight w:val="460"/>
        </w:trPr>
        <w:tc>
          <w:tcPr>
            <w:tcW w:w="3512" w:type="dxa"/>
          </w:tcPr>
          <w:p w:rsidR="00030318" w:rsidRDefault="00030318" w:rsidP="00030318">
            <w:pPr>
              <w:pStyle w:val="TableParagraph"/>
              <w:spacing w:line="225" w:lineRule="exact"/>
              <w:rPr>
                <w:b/>
                <w:sz w:val="20"/>
              </w:rPr>
            </w:pPr>
            <w:r>
              <w:rPr>
                <w:b/>
                <w:sz w:val="20"/>
              </w:rPr>
              <w:t>Fund Rating:</w:t>
            </w:r>
          </w:p>
          <w:p w:rsidR="00030318" w:rsidRDefault="00030318" w:rsidP="00030318">
            <w:pPr>
              <w:pStyle w:val="TableParagraph"/>
              <w:spacing w:line="215" w:lineRule="exact"/>
              <w:rPr>
                <w:b/>
                <w:sz w:val="20"/>
              </w:rPr>
            </w:pPr>
            <w:r>
              <w:rPr>
                <w:b/>
                <w:sz w:val="20"/>
              </w:rPr>
              <w:t>(Credit Rating Agency: JCR-VIS)</w:t>
            </w:r>
          </w:p>
        </w:tc>
        <w:tc>
          <w:tcPr>
            <w:tcW w:w="2809" w:type="dxa"/>
          </w:tcPr>
          <w:p w:rsidR="00030318" w:rsidRDefault="00030318" w:rsidP="00030318">
            <w:pPr>
              <w:pStyle w:val="TableParagraph"/>
              <w:spacing w:before="9"/>
              <w:ind w:left="0"/>
              <w:rPr>
                <w:sz w:val="19"/>
              </w:rPr>
            </w:pPr>
          </w:p>
          <w:p w:rsidR="00030318" w:rsidRDefault="00030318" w:rsidP="00030318">
            <w:pPr>
              <w:pStyle w:val="TableParagraph"/>
              <w:spacing w:line="213" w:lineRule="exact"/>
              <w:ind w:left="105"/>
              <w:rPr>
                <w:sz w:val="20"/>
              </w:rPr>
            </w:pPr>
            <w:r>
              <w:rPr>
                <w:sz w:val="20"/>
              </w:rPr>
              <w:t>AA</w:t>
            </w:r>
          </w:p>
        </w:tc>
        <w:tc>
          <w:tcPr>
            <w:tcW w:w="2521" w:type="dxa"/>
          </w:tcPr>
          <w:p w:rsidR="00030318" w:rsidRDefault="00030318" w:rsidP="00030318">
            <w:pPr>
              <w:pStyle w:val="TableParagraph"/>
              <w:ind w:left="0"/>
              <w:rPr>
                <w:rFonts w:ascii="Times New Roman"/>
                <w:sz w:val="18"/>
              </w:rPr>
            </w:pPr>
          </w:p>
        </w:tc>
      </w:tr>
      <w:tr w:rsidR="00030318" w:rsidTr="00030318">
        <w:trPr>
          <w:trHeight w:val="230"/>
        </w:trPr>
        <w:tc>
          <w:tcPr>
            <w:tcW w:w="3512" w:type="dxa"/>
          </w:tcPr>
          <w:p w:rsidR="00030318" w:rsidRDefault="00030318" w:rsidP="00030318">
            <w:pPr>
              <w:pStyle w:val="TableParagraph"/>
              <w:spacing w:line="210" w:lineRule="exact"/>
              <w:rPr>
                <w:b/>
                <w:sz w:val="20"/>
              </w:rPr>
            </w:pPr>
            <w:r>
              <w:rPr>
                <w:b/>
                <w:sz w:val="20"/>
              </w:rPr>
              <w:t>Performance:</w:t>
            </w:r>
          </w:p>
        </w:tc>
        <w:tc>
          <w:tcPr>
            <w:tcW w:w="2809" w:type="dxa"/>
          </w:tcPr>
          <w:p w:rsidR="00030318" w:rsidRDefault="00030318" w:rsidP="00030318">
            <w:pPr>
              <w:pStyle w:val="TableParagraph"/>
              <w:spacing w:line="210" w:lineRule="exact"/>
              <w:ind w:left="105"/>
              <w:rPr>
                <w:b/>
                <w:sz w:val="20"/>
              </w:rPr>
            </w:pPr>
            <w:r>
              <w:rPr>
                <w:b/>
                <w:sz w:val="20"/>
              </w:rPr>
              <w:t>Return (p.a.)</w:t>
            </w:r>
          </w:p>
        </w:tc>
        <w:tc>
          <w:tcPr>
            <w:tcW w:w="2521" w:type="dxa"/>
          </w:tcPr>
          <w:p w:rsidR="00030318" w:rsidRDefault="00030318" w:rsidP="00030318">
            <w:pPr>
              <w:pStyle w:val="TableParagraph"/>
              <w:spacing w:line="210" w:lineRule="exact"/>
              <w:ind w:left="104"/>
              <w:rPr>
                <w:b/>
                <w:sz w:val="20"/>
              </w:rPr>
            </w:pPr>
            <w:r>
              <w:rPr>
                <w:b/>
                <w:sz w:val="20"/>
              </w:rPr>
              <w:t>Payout</w:t>
            </w:r>
          </w:p>
        </w:tc>
      </w:tr>
      <w:tr w:rsidR="00030318" w:rsidTr="00030318">
        <w:trPr>
          <w:trHeight w:val="340"/>
        </w:trPr>
        <w:tc>
          <w:tcPr>
            <w:tcW w:w="3512" w:type="dxa"/>
            <w:tcBorders>
              <w:bottom w:val="nil"/>
            </w:tcBorders>
          </w:tcPr>
          <w:p w:rsidR="00030318" w:rsidRDefault="00030318" w:rsidP="00030318">
            <w:pPr>
              <w:pStyle w:val="TableParagraph"/>
              <w:spacing w:before="112" w:line="209" w:lineRule="exact"/>
              <w:rPr>
                <w:sz w:val="20"/>
              </w:rPr>
            </w:pPr>
            <w:r>
              <w:rPr>
                <w:sz w:val="20"/>
              </w:rPr>
              <w:t>Year ended 30 June 2017</w:t>
            </w:r>
          </w:p>
        </w:tc>
        <w:tc>
          <w:tcPr>
            <w:tcW w:w="2809" w:type="dxa"/>
            <w:tcBorders>
              <w:bottom w:val="nil"/>
            </w:tcBorders>
          </w:tcPr>
          <w:p w:rsidR="00030318" w:rsidRDefault="00030318" w:rsidP="00030318">
            <w:pPr>
              <w:pStyle w:val="TableParagraph"/>
              <w:spacing w:before="112" w:line="209" w:lineRule="exact"/>
              <w:ind w:left="105"/>
              <w:rPr>
                <w:sz w:val="20"/>
              </w:rPr>
            </w:pPr>
            <w:r>
              <w:rPr>
                <w:sz w:val="20"/>
              </w:rPr>
              <w:t>7.40%</w:t>
            </w:r>
          </w:p>
        </w:tc>
        <w:tc>
          <w:tcPr>
            <w:tcW w:w="2521" w:type="dxa"/>
            <w:vMerge w:val="restart"/>
          </w:tcPr>
          <w:p w:rsidR="00030318" w:rsidRDefault="00030318" w:rsidP="00030318">
            <w:pPr>
              <w:pStyle w:val="TableParagraph"/>
              <w:spacing w:line="227" w:lineRule="exact"/>
              <w:ind w:left="104"/>
              <w:rPr>
                <w:sz w:val="20"/>
              </w:rPr>
            </w:pPr>
            <w:r>
              <w:rPr>
                <w:sz w:val="20"/>
              </w:rPr>
              <w:t>Rs. 6.0800 per unit</w:t>
            </w:r>
          </w:p>
          <w:p w:rsidR="00030318" w:rsidRDefault="00030318" w:rsidP="00030318">
            <w:pPr>
              <w:pStyle w:val="TableParagraph"/>
              <w:ind w:left="0"/>
              <w:rPr>
                <w:sz w:val="20"/>
              </w:rPr>
            </w:pPr>
          </w:p>
          <w:p w:rsidR="00030318" w:rsidRDefault="00030318" w:rsidP="00030318">
            <w:pPr>
              <w:pStyle w:val="TableParagraph"/>
              <w:spacing w:before="1"/>
              <w:ind w:left="104" w:right="941"/>
              <w:jc w:val="both"/>
              <w:rPr>
                <w:sz w:val="20"/>
              </w:rPr>
            </w:pPr>
            <w:r>
              <w:rPr>
                <w:sz w:val="20"/>
              </w:rPr>
              <w:t>Rs. 5.50 per</w:t>
            </w:r>
            <w:r>
              <w:rPr>
                <w:spacing w:val="-8"/>
                <w:sz w:val="20"/>
              </w:rPr>
              <w:t xml:space="preserve"> </w:t>
            </w:r>
            <w:r>
              <w:rPr>
                <w:sz w:val="20"/>
              </w:rPr>
              <w:t>unit Rs. 8.47 per</w:t>
            </w:r>
            <w:r>
              <w:rPr>
                <w:spacing w:val="-8"/>
                <w:sz w:val="20"/>
              </w:rPr>
              <w:t xml:space="preserve"> </w:t>
            </w:r>
            <w:r>
              <w:rPr>
                <w:sz w:val="20"/>
              </w:rPr>
              <w:t>unit Rs. 7.49 per</w:t>
            </w:r>
            <w:r>
              <w:rPr>
                <w:spacing w:val="-8"/>
                <w:sz w:val="20"/>
              </w:rPr>
              <w:t xml:space="preserve"> </w:t>
            </w:r>
            <w:r>
              <w:rPr>
                <w:sz w:val="20"/>
              </w:rPr>
              <w:t>unit Rs. 8.69 per</w:t>
            </w:r>
            <w:r>
              <w:rPr>
                <w:spacing w:val="-8"/>
                <w:sz w:val="20"/>
              </w:rPr>
              <w:t xml:space="preserve"> </w:t>
            </w:r>
            <w:r>
              <w:rPr>
                <w:sz w:val="20"/>
              </w:rPr>
              <w:t xml:space="preserve">unit </w:t>
            </w:r>
            <w:r>
              <w:rPr>
                <w:sz w:val="20"/>
              </w:rPr>
              <w:lastRenderedPageBreak/>
              <w:t>Rs.8.24 per</w:t>
            </w:r>
            <w:r>
              <w:rPr>
                <w:spacing w:val="-4"/>
                <w:sz w:val="20"/>
              </w:rPr>
              <w:t xml:space="preserve"> </w:t>
            </w:r>
            <w:r>
              <w:rPr>
                <w:sz w:val="20"/>
              </w:rPr>
              <w:t>unit</w:t>
            </w:r>
          </w:p>
          <w:p w:rsidR="00030318" w:rsidRDefault="00030318" w:rsidP="00030318">
            <w:pPr>
              <w:pStyle w:val="TableParagraph"/>
              <w:spacing w:line="213" w:lineRule="exact"/>
              <w:ind w:left="104"/>
              <w:jc w:val="both"/>
              <w:rPr>
                <w:sz w:val="20"/>
              </w:rPr>
            </w:pPr>
            <w:r>
              <w:rPr>
                <w:sz w:val="20"/>
              </w:rPr>
              <w:t>Rs. 3.1179 per unit</w:t>
            </w: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Year ended 30 June 2016</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5.55%</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Year ended 30 June 2015</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8.56%</w:t>
            </w:r>
          </w:p>
        </w:tc>
        <w:tc>
          <w:tcPr>
            <w:tcW w:w="2521" w:type="dxa"/>
            <w:vMerge/>
            <w:tcBorders>
              <w:top w:val="nil"/>
            </w:tcBorders>
          </w:tcPr>
          <w:p w:rsidR="00030318" w:rsidRDefault="00030318" w:rsidP="00030318">
            <w:pPr>
              <w:rPr>
                <w:sz w:val="2"/>
                <w:szCs w:val="2"/>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Year ended 30 June 2014</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8.02%</w:t>
            </w:r>
          </w:p>
        </w:tc>
        <w:tc>
          <w:tcPr>
            <w:tcW w:w="2521" w:type="dxa"/>
            <w:vMerge/>
            <w:tcBorders>
              <w:top w:val="nil"/>
            </w:tcBorders>
          </w:tcPr>
          <w:p w:rsidR="00030318" w:rsidRDefault="00030318" w:rsidP="00030318">
            <w:pPr>
              <w:rPr>
                <w:sz w:val="2"/>
                <w:szCs w:val="2"/>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Year ended 30 June 2013</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8.94%</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Year ended 30 June 2012</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11.34%</w:t>
            </w:r>
          </w:p>
        </w:tc>
        <w:tc>
          <w:tcPr>
            <w:tcW w:w="2521" w:type="dxa"/>
            <w:vMerge/>
            <w:tcBorders>
              <w:top w:val="nil"/>
            </w:tcBorders>
          </w:tcPr>
          <w:p w:rsidR="00030318" w:rsidRDefault="00030318" w:rsidP="00030318">
            <w:pPr>
              <w:rPr>
                <w:sz w:val="2"/>
                <w:szCs w:val="2"/>
              </w:rPr>
            </w:pPr>
          </w:p>
        </w:tc>
      </w:tr>
      <w:tr w:rsidR="00030318" w:rsidTr="00030318">
        <w:trPr>
          <w:trHeight w:val="339"/>
        </w:trPr>
        <w:tc>
          <w:tcPr>
            <w:tcW w:w="3512" w:type="dxa"/>
            <w:tcBorders>
              <w:top w:val="nil"/>
            </w:tcBorders>
          </w:tcPr>
          <w:p w:rsidR="00030318" w:rsidRDefault="00030318" w:rsidP="00030318">
            <w:pPr>
              <w:pStyle w:val="TableParagraph"/>
              <w:spacing w:line="222" w:lineRule="exact"/>
              <w:rPr>
                <w:sz w:val="20"/>
              </w:rPr>
            </w:pPr>
            <w:r>
              <w:rPr>
                <w:sz w:val="20"/>
              </w:rPr>
              <w:lastRenderedPageBreak/>
              <w:t>Year ended 30 June 2011</w:t>
            </w:r>
          </w:p>
        </w:tc>
        <w:tc>
          <w:tcPr>
            <w:tcW w:w="2809" w:type="dxa"/>
            <w:tcBorders>
              <w:top w:val="nil"/>
            </w:tcBorders>
          </w:tcPr>
          <w:p w:rsidR="00030318" w:rsidRDefault="00030318" w:rsidP="00030318">
            <w:pPr>
              <w:pStyle w:val="TableParagraph"/>
              <w:spacing w:line="222" w:lineRule="exact"/>
              <w:ind w:left="105"/>
              <w:rPr>
                <w:sz w:val="20"/>
              </w:rPr>
            </w:pPr>
            <w:r>
              <w:rPr>
                <w:sz w:val="20"/>
              </w:rPr>
              <w:t>11.85%</w:t>
            </w:r>
          </w:p>
        </w:tc>
        <w:tc>
          <w:tcPr>
            <w:tcW w:w="2521" w:type="dxa"/>
            <w:vMerge/>
            <w:tcBorders>
              <w:top w:val="nil"/>
            </w:tcBorders>
          </w:tcPr>
          <w:p w:rsidR="00030318" w:rsidRDefault="00030318" w:rsidP="00030318">
            <w:pPr>
              <w:rPr>
                <w:sz w:val="2"/>
                <w:szCs w:val="2"/>
              </w:rPr>
            </w:pPr>
          </w:p>
        </w:tc>
      </w:tr>
      <w:tr w:rsidR="00030318" w:rsidTr="00030318">
        <w:trPr>
          <w:trHeight w:val="229"/>
        </w:trPr>
        <w:tc>
          <w:tcPr>
            <w:tcW w:w="3512" w:type="dxa"/>
          </w:tcPr>
          <w:p w:rsidR="00030318" w:rsidRDefault="00030318" w:rsidP="00030318">
            <w:pPr>
              <w:pStyle w:val="TableParagraph"/>
              <w:spacing w:line="210" w:lineRule="exact"/>
              <w:rPr>
                <w:sz w:val="20"/>
              </w:rPr>
            </w:pPr>
            <w:r>
              <w:rPr>
                <w:sz w:val="20"/>
              </w:rPr>
              <w:lastRenderedPageBreak/>
              <w:t>Year ended 30 June 2010</w:t>
            </w:r>
          </w:p>
        </w:tc>
        <w:tc>
          <w:tcPr>
            <w:tcW w:w="2809" w:type="dxa"/>
          </w:tcPr>
          <w:p w:rsidR="00030318" w:rsidRDefault="00030318" w:rsidP="00030318">
            <w:pPr>
              <w:pStyle w:val="TableParagraph"/>
              <w:spacing w:line="210" w:lineRule="exact"/>
              <w:ind w:left="105"/>
              <w:rPr>
                <w:sz w:val="20"/>
              </w:rPr>
            </w:pPr>
            <w:r>
              <w:rPr>
                <w:sz w:val="20"/>
              </w:rPr>
              <w:t>10.52%</w:t>
            </w:r>
          </w:p>
        </w:tc>
        <w:tc>
          <w:tcPr>
            <w:tcW w:w="2521" w:type="dxa"/>
          </w:tcPr>
          <w:p w:rsidR="00030318" w:rsidRDefault="00030318" w:rsidP="00030318">
            <w:pPr>
              <w:pStyle w:val="TableParagraph"/>
              <w:spacing w:line="210" w:lineRule="exact"/>
              <w:ind w:left="104"/>
              <w:rPr>
                <w:sz w:val="20"/>
              </w:rPr>
            </w:pPr>
            <w:r>
              <w:rPr>
                <w:sz w:val="20"/>
              </w:rPr>
              <w:t>Rs. 2.9449 per</w:t>
            </w:r>
            <w:r>
              <w:rPr>
                <w:spacing w:val="52"/>
                <w:sz w:val="20"/>
              </w:rPr>
              <w:t xml:space="preserve"> </w:t>
            </w:r>
            <w:r>
              <w:rPr>
                <w:sz w:val="20"/>
              </w:rPr>
              <w:t>unit</w:t>
            </w: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Year ended 30 June 2009</w:t>
            </w:r>
          </w:p>
        </w:tc>
        <w:tc>
          <w:tcPr>
            <w:tcW w:w="2809" w:type="dxa"/>
          </w:tcPr>
          <w:p w:rsidR="00030318" w:rsidRDefault="00030318" w:rsidP="00030318">
            <w:pPr>
              <w:pStyle w:val="TableParagraph"/>
              <w:spacing w:line="210" w:lineRule="exact"/>
              <w:ind w:left="105"/>
              <w:rPr>
                <w:sz w:val="20"/>
              </w:rPr>
            </w:pPr>
            <w:r>
              <w:rPr>
                <w:sz w:val="20"/>
              </w:rPr>
              <w:t>9.07%</w:t>
            </w:r>
          </w:p>
        </w:tc>
        <w:tc>
          <w:tcPr>
            <w:tcW w:w="2521" w:type="dxa"/>
          </w:tcPr>
          <w:p w:rsidR="00030318" w:rsidRDefault="00030318" w:rsidP="00030318">
            <w:pPr>
              <w:pStyle w:val="TableParagraph"/>
              <w:spacing w:line="210" w:lineRule="exact"/>
              <w:ind w:left="104"/>
              <w:rPr>
                <w:sz w:val="20"/>
              </w:rPr>
            </w:pPr>
            <w:r>
              <w:rPr>
                <w:sz w:val="20"/>
              </w:rPr>
              <w:t>Rs. 0.1842 per unit</w:t>
            </w:r>
          </w:p>
        </w:tc>
      </w:tr>
    </w:tbl>
    <w:p w:rsidR="00030318" w:rsidRDefault="00030318" w:rsidP="00030318">
      <w:pPr>
        <w:pStyle w:val="BodyText"/>
        <w:rPr>
          <w:sz w:val="22"/>
        </w:rPr>
      </w:pPr>
    </w:p>
    <w:p w:rsidR="00030318" w:rsidRDefault="00030318" w:rsidP="00030318">
      <w:pPr>
        <w:pStyle w:val="Heading5"/>
        <w:spacing w:before="148"/>
        <w:ind w:left="621" w:right="5676"/>
      </w:pPr>
      <w:r>
        <w:t>Al-Ameen Islamic Cash Fund - AICF (Formerly UBL ISLAMIC CASH FUND (UICF))</w:t>
      </w:r>
    </w:p>
    <w:p w:rsidR="00030318" w:rsidRDefault="00030318" w:rsidP="00030318">
      <w:pPr>
        <w:pStyle w:val="BodyText"/>
        <w:spacing w:before="3"/>
        <w:rPr>
          <w:b/>
        </w:rPr>
      </w:pPr>
    </w:p>
    <w:p w:rsidR="00030318" w:rsidRDefault="00030318" w:rsidP="00030318">
      <w:pPr>
        <w:pStyle w:val="BodyText"/>
        <w:ind w:left="621" w:right="908"/>
        <w:jc w:val="both"/>
      </w:pPr>
      <w:r>
        <w:t>Al-Ameen Islamic Cash Fund - AICF (Formerly UBL ISLAMIC CASH FUND (UICF)) is an open-end Shariah Compliant Money Market Fund which aims to provide high liquidity and competitive returns to investors, while seeking maximum possible preservation of capital by investing in low risk and liquid instruments.</w:t>
      </w:r>
    </w:p>
    <w:p w:rsidR="00030318" w:rsidRDefault="00030318" w:rsidP="00030318">
      <w:pPr>
        <w:pStyle w:val="BodyText"/>
        <w:spacing w:before="3"/>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808"/>
        <w:gridCol w:w="2520"/>
        <w:gridCol w:w="890"/>
      </w:tblGrid>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Date of launching</w:t>
            </w:r>
          </w:p>
        </w:tc>
        <w:tc>
          <w:tcPr>
            <w:tcW w:w="2808" w:type="dxa"/>
          </w:tcPr>
          <w:p w:rsidR="00030318" w:rsidRDefault="00030318" w:rsidP="00030318">
            <w:pPr>
              <w:pStyle w:val="TableParagraph"/>
              <w:spacing w:line="210" w:lineRule="exact"/>
              <w:rPr>
                <w:sz w:val="20"/>
              </w:rPr>
            </w:pPr>
            <w:r>
              <w:rPr>
                <w:sz w:val="20"/>
              </w:rPr>
              <w:t>17 September 2012</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Par Value of units</w:t>
            </w:r>
          </w:p>
        </w:tc>
        <w:tc>
          <w:tcPr>
            <w:tcW w:w="2808" w:type="dxa"/>
          </w:tcPr>
          <w:p w:rsidR="00030318" w:rsidRDefault="00030318" w:rsidP="00030318">
            <w:pPr>
              <w:pStyle w:val="TableParagraph"/>
              <w:spacing w:line="210" w:lineRule="exact"/>
              <w:rPr>
                <w:sz w:val="20"/>
              </w:rPr>
            </w:pPr>
            <w:r>
              <w:rPr>
                <w:sz w:val="20"/>
              </w:rPr>
              <w:t>Rs. 100</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sidRPr="00E65CA8">
              <w:rPr>
                <w:sz w:val="20"/>
              </w:rPr>
              <w:t>Net Assets (as at Feb 19 2019)</w:t>
            </w:r>
          </w:p>
        </w:tc>
        <w:tc>
          <w:tcPr>
            <w:tcW w:w="2808" w:type="dxa"/>
          </w:tcPr>
          <w:p w:rsidR="00030318" w:rsidRDefault="00030318" w:rsidP="00030318">
            <w:pPr>
              <w:pStyle w:val="TableParagraph"/>
              <w:spacing w:line="210" w:lineRule="exact"/>
              <w:rPr>
                <w:sz w:val="20"/>
              </w:rPr>
            </w:pPr>
            <w:r>
              <w:rPr>
                <w:sz w:val="20"/>
              </w:rPr>
              <w:t>Rs. 4,000 million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Net Assets (as at June 30 2018)</w:t>
            </w:r>
          </w:p>
        </w:tc>
        <w:tc>
          <w:tcPr>
            <w:tcW w:w="2808" w:type="dxa"/>
          </w:tcPr>
          <w:p w:rsidR="00030318" w:rsidRDefault="00030318" w:rsidP="00030318">
            <w:pPr>
              <w:pStyle w:val="TableParagraph"/>
              <w:spacing w:line="210" w:lineRule="exact"/>
              <w:rPr>
                <w:sz w:val="20"/>
              </w:rPr>
            </w:pPr>
            <w:r>
              <w:rPr>
                <w:sz w:val="20"/>
              </w:rPr>
              <w:t>Rs. 5.2 billion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Net Assets (as at 30 June 2017)</w:t>
            </w:r>
          </w:p>
        </w:tc>
        <w:tc>
          <w:tcPr>
            <w:tcW w:w="2808" w:type="dxa"/>
          </w:tcPr>
          <w:p w:rsidR="00030318" w:rsidRDefault="00030318" w:rsidP="00030318">
            <w:pPr>
              <w:pStyle w:val="TableParagraph"/>
              <w:spacing w:line="210" w:lineRule="exact"/>
              <w:rPr>
                <w:sz w:val="20"/>
              </w:rPr>
            </w:pPr>
            <w:r>
              <w:rPr>
                <w:sz w:val="20"/>
              </w:rPr>
              <w:t>Rs. 4,013 million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Net Assets (as at June 30, 2016)</w:t>
            </w:r>
          </w:p>
        </w:tc>
        <w:tc>
          <w:tcPr>
            <w:tcW w:w="2808" w:type="dxa"/>
          </w:tcPr>
          <w:p w:rsidR="00030318" w:rsidRDefault="00030318" w:rsidP="00030318">
            <w:pPr>
              <w:pStyle w:val="TableParagraph"/>
              <w:spacing w:line="210" w:lineRule="exact"/>
              <w:rPr>
                <w:sz w:val="20"/>
              </w:rPr>
            </w:pPr>
            <w:r>
              <w:rPr>
                <w:sz w:val="20"/>
              </w:rPr>
              <w:t>PKR 4672 million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Net Assets (as at June 30, 2015)</w:t>
            </w:r>
          </w:p>
        </w:tc>
        <w:tc>
          <w:tcPr>
            <w:tcW w:w="2808" w:type="dxa"/>
          </w:tcPr>
          <w:p w:rsidR="00030318" w:rsidRDefault="00030318" w:rsidP="00030318">
            <w:pPr>
              <w:pStyle w:val="TableParagraph"/>
              <w:spacing w:line="210" w:lineRule="exact"/>
              <w:rPr>
                <w:sz w:val="20"/>
              </w:rPr>
            </w:pPr>
            <w:r>
              <w:rPr>
                <w:sz w:val="20"/>
              </w:rPr>
              <w:t>PKR 5,302 million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Net Assets (as at June 30, 2014)</w:t>
            </w:r>
          </w:p>
        </w:tc>
        <w:tc>
          <w:tcPr>
            <w:tcW w:w="2808" w:type="dxa"/>
          </w:tcPr>
          <w:p w:rsidR="00030318" w:rsidRDefault="00030318" w:rsidP="00030318">
            <w:pPr>
              <w:pStyle w:val="TableParagraph"/>
              <w:spacing w:line="210" w:lineRule="exact"/>
              <w:rPr>
                <w:sz w:val="20"/>
              </w:rPr>
            </w:pPr>
            <w:r>
              <w:rPr>
                <w:sz w:val="20"/>
              </w:rPr>
              <w:t>PKR 1,694 million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30"/>
        </w:trPr>
        <w:tc>
          <w:tcPr>
            <w:tcW w:w="3454" w:type="dxa"/>
          </w:tcPr>
          <w:p w:rsidR="00030318" w:rsidRDefault="00030318" w:rsidP="00030318">
            <w:pPr>
              <w:pStyle w:val="TableParagraph"/>
              <w:spacing w:line="210" w:lineRule="exact"/>
              <w:rPr>
                <w:sz w:val="20"/>
              </w:rPr>
            </w:pPr>
            <w:r>
              <w:rPr>
                <w:sz w:val="20"/>
              </w:rPr>
              <w:t>Net Assets (as at June 30, 2013)</w:t>
            </w:r>
          </w:p>
        </w:tc>
        <w:tc>
          <w:tcPr>
            <w:tcW w:w="2808" w:type="dxa"/>
          </w:tcPr>
          <w:p w:rsidR="00030318" w:rsidRDefault="00030318" w:rsidP="00030318">
            <w:pPr>
              <w:pStyle w:val="TableParagraph"/>
              <w:spacing w:line="210" w:lineRule="exact"/>
              <w:rPr>
                <w:sz w:val="20"/>
              </w:rPr>
            </w:pPr>
            <w:r>
              <w:rPr>
                <w:sz w:val="20"/>
              </w:rPr>
              <w:t>PKR 137.7 million</w:t>
            </w:r>
          </w:p>
        </w:tc>
        <w:tc>
          <w:tcPr>
            <w:tcW w:w="2520" w:type="dxa"/>
          </w:tcPr>
          <w:p w:rsidR="00030318" w:rsidRDefault="00030318" w:rsidP="00030318">
            <w:pPr>
              <w:pStyle w:val="TableParagraph"/>
              <w:ind w:left="0"/>
              <w:rPr>
                <w:rFonts w:ascii="Times New Roman"/>
                <w:sz w:val="16"/>
              </w:rPr>
            </w:pPr>
          </w:p>
        </w:tc>
      </w:tr>
      <w:tr w:rsidR="00030318" w:rsidTr="00030318">
        <w:trPr>
          <w:gridAfter w:val="1"/>
          <w:wAfter w:w="890" w:type="dxa"/>
          <w:trHeight w:val="225"/>
        </w:trPr>
        <w:tc>
          <w:tcPr>
            <w:tcW w:w="3454" w:type="dxa"/>
            <w:tcBorders>
              <w:bottom w:val="nil"/>
            </w:tcBorders>
          </w:tcPr>
          <w:p w:rsidR="00030318" w:rsidRDefault="00030318" w:rsidP="00030318">
            <w:pPr>
              <w:pStyle w:val="TableParagraph"/>
              <w:spacing w:line="206" w:lineRule="exact"/>
              <w:rPr>
                <w:sz w:val="20"/>
              </w:rPr>
            </w:pPr>
            <w:r w:rsidRPr="00E65CA8">
              <w:rPr>
                <w:sz w:val="20"/>
              </w:rPr>
              <w:t>NAV (as at Feb 19, 2019)</w:t>
            </w:r>
          </w:p>
        </w:tc>
        <w:tc>
          <w:tcPr>
            <w:tcW w:w="2808" w:type="dxa"/>
            <w:tcBorders>
              <w:bottom w:val="nil"/>
            </w:tcBorders>
          </w:tcPr>
          <w:p w:rsidR="00030318" w:rsidRPr="000E7B5C" w:rsidRDefault="00030318" w:rsidP="00030318">
            <w:pPr>
              <w:rPr>
                <w:rFonts w:ascii="Calibri" w:hAnsi="Calibri" w:cs="Calibri"/>
                <w:color w:val="000000"/>
              </w:rPr>
            </w:pPr>
            <w:r>
              <w:rPr>
                <w:rFonts w:ascii="Calibri" w:hAnsi="Calibri" w:cs="Calibri"/>
                <w:color w:val="000000"/>
              </w:rPr>
              <w:t xml:space="preserve">  Rs. 100.4652</w:t>
            </w:r>
          </w:p>
        </w:tc>
        <w:tc>
          <w:tcPr>
            <w:tcW w:w="2520" w:type="dxa"/>
          </w:tcPr>
          <w:p w:rsidR="00030318" w:rsidRDefault="00030318" w:rsidP="00030318">
            <w:pPr>
              <w:pStyle w:val="TableParagraph"/>
              <w:ind w:left="0"/>
              <w:rPr>
                <w:rFonts w:ascii="Times New Roman"/>
                <w:sz w:val="18"/>
              </w:rPr>
            </w:pPr>
          </w:p>
        </w:tc>
      </w:tr>
      <w:tr w:rsidR="00030318" w:rsidTr="00030318">
        <w:trPr>
          <w:gridAfter w:val="1"/>
          <w:wAfter w:w="890" w:type="dxa"/>
          <w:trHeight w:val="225"/>
        </w:trPr>
        <w:tc>
          <w:tcPr>
            <w:tcW w:w="3454" w:type="dxa"/>
            <w:tcBorders>
              <w:bottom w:val="nil"/>
            </w:tcBorders>
          </w:tcPr>
          <w:p w:rsidR="00030318" w:rsidRDefault="00030318" w:rsidP="00030318">
            <w:pPr>
              <w:pStyle w:val="TableParagraph"/>
              <w:spacing w:line="206" w:lineRule="exact"/>
              <w:rPr>
                <w:sz w:val="20"/>
              </w:rPr>
            </w:pPr>
            <w:r>
              <w:rPr>
                <w:sz w:val="20"/>
              </w:rPr>
              <w:t>NAV (as at June 30 2017)</w:t>
            </w:r>
          </w:p>
        </w:tc>
        <w:tc>
          <w:tcPr>
            <w:tcW w:w="2808" w:type="dxa"/>
            <w:tcBorders>
              <w:bottom w:val="nil"/>
            </w:tcBorders>
          </w:tcPr>
          <w:p w:rsidR="00030318" w:rsidRDefault="00030318" w:rsidP="00030318">
            <w:pPr>
              <w:pStyle w:val="TableParagraph"/>
              <w:spacing w:line="206" w:lineRule="exact"/>
              <w:rPr>
                <w:sz w:val="20"/>
              </w:rPr>
            </w:pPr>
            <w:r>
              <w:rPr>
                <w:sz w:val="20"/>
              </w:rPr>
              <w:t>Rs. 100.2424</w:t>
            </w:r>
          </w:p>
        </w:tc>
        <w:tc>
          <w:tcPr>
            <w:tcW w:w="2520" w:type="dxa"/>
            <w:vMerge w:val="restart"/>
          </w:tcPr>
          <w:p w:rsidR="00030318" w:rsidRDefault="00030318" w:rsidP="00030318">
            <w:pPr>
              <w:pStyle w:val="TableParagraph"/>
              <w:ind w:left="0"/>
              <w:rPr>
                <w:rFonts w:ascii="Times New Roman"/>
                <w:sz w:val="18"/>
              </w:rPr>
            </w:pPr>
          </w:p>
        </w:tc>
      </w:tr>
      <w:tr w:rsidR="00030318" w:rsidTr="00030318">
        <w:trPr>
          <w:gridAfter w:val="1"/>
          <w:wAfter w:w="890" w:type="dxa"/>
          <w:trHeight w:val="220"/>
        </w:trPr>
        <w:tc>
          <w:tcPr>
            <w:tcW w:w="3454" w:type="dxa"/>
            <w:tcBorders>
              <w:top w:val="nil"/>
              <w:bottom w:val="nil"/>
            </w:tcBorders>
          </w:tcPr>
          <w:p w:rsidR="00030318" w:rsidRDefault="00030318" w:rsidP="00030318">
            <w:pPr>
              <w:pStyle w:val="TableParagraph"/>
              <w:spacing w:line="200" w:lineRule="exact"/>
              <w:rPr>
                <w:sz w:val="20"/>
              </w:rPr>
            </w:pPr>
            <w:r>
              <w:rPr>
                <w:sz w:val="20"/>
              </w:rPr>
              <w:t>NAV (as at June 30 2016)</w:t>
            </w:r>
          </w:p>
        </w:tc>
        <w:tc>
          <w:tcPr>
            <w:tcW w:w="2808" w:type="dxa"/>
            <w:tcBorders>
              <w:top w:val="nil"/>
              <w:bottom w:val="nil"/>
            </w:tcBorders>
          </w:tcPr>
          <w:p w:rsidR="00030318" w:rsidRDefault="00030318" w:rsidP="00030318">
            <w:pPr>
              <w:pStyle w:val="TableParagraph"/>
              <w:spacing w:line="200" w:lineRule="exact"/>
              <w:rPr>
                <w:sz w:val="20"/>
              </w:rPr>
            </w:pPr>
            <w:r>
              <w:rPr>
                <w:sz w:val="20"/>
              </w:rPr>
              <w:t>Rs. 100.2414</w:t>
            </w:r>
          </w:p>
        </w:tc>
        <w:tc>
          <w:tcPr>
            <w:tcW w:w="2520" w:type="dxa"/>
            <w:vMerge/>
            <w:tcBorders>
              <w:top w:val="nil"/>
            </w:tcBorders>
          </w:tcPr>
          <w:p w:rsidR="00030318" w:rsidRDefault="00030318" w:rsidP="00030318">
            <w:pPr>
              <w:rPr>
                <w:sz w:val="2"/>
                <w:szCs w:val="2"/>
              </w:rPr>
            </w:pPr>
          </w:p>
        </w:tc>
      </w:tr>
      <w:tr w:rsidR="00030318" w:rsidTr="00030318">
        <w:trPr>
          <w:gridAfter w:val="1"/>
          <w:wAfter w:w="890" w:type="dxa"/>
          <w:trHeight w:val="220"/>
        </w:trPr>
        <w:tc>
          <w:tcPr>
            <w:tcW w:w="3454" w:type="dxa"/>
            <w:tcBorders>
              <w:top w:val="nil"/>
              <w:bottom w:val="nil"/>
            </w:tcBorders>
          </w:tcPr>
          <w:p w:rsidR="00030318" w:rsidRDefault="00030318" w:rsidP="00030318">
            <w:pPr>
              <w:pStyle w:val="TableParagraph"/>
              <w:spacing w:line="200" w:lineRule="exact"/>
              <w:rPr>
                <w:sz w:val="20"/>
              </w:rPr>
            </w:pPr>
            <w:r>
              <w:rPr>
                <w:sz w:val="20"/>
              </w:rPr>
              <w:t>NAV (as at June 30, 2015)</w:t>
            </w:r>
          </w:p>
        </w:tc>
        <w:tc>
          <w:tcPr>
            <w:tcW w:w="2808" w:type="dxa"/>
            <w:tcBorders>
              <w:top w:val="nil"/>
              <w:bottom w:val="nil"/>
            </w:tcBorders>
          </w:tcPr>
          <w:p w:rsidR="00030318" w:rsidRDefault="00030318" w:rsidP="00030318">
            <w:pPr>
              <w:pStyle w:val="TableParagraph"/>
              <w:spacing w:line="200" w:lineRule="exact"/>
              <w:rPr>
                <w:sz w:val="20"/>
              </w:rPr>
            </w:pPr>
            <w:r>
              <w:rPr>
                <w:sz w:val="20"/>
              </w:rPr>
              <w:t>Rs. 100.2632</w:t>
            </w:r>
          </w:p>
        </w:tc>
        <w:tc>
          <w:tcPr>
            <w:tcW w:w="2520" w:type="dxa"/>
            <w:vMerge/>
            <w:tcBorders>
              <w:top w:val="nil"/>
            </w:tcBorders>
          </w:tcPr>
          <w:p w:rsidR="00030318" w:rsidRDefault="00030318" w:rsidP="00030318">
            <w:pPr>
              <w:rPr>
                <w:sz w:val="2"/>
                <w:szCs w:val="2"/>
              </w:rPr>
            </w:pPr>
          </w:p>
        </w:tc>
      </w:tr>
      <w:tr w:rsidR="00030318" w:rsidTr="00030318">
        <w:trPr>
          <w:gridAfter w:val="1"/>
          <w:wAfter w:w="890" w:type="dxa"/>
          <w:trHeight w:val="219"/>
        </w:trPr>
        <w:tc>
          <w:tcPr>
            <w:tcW w:w="3454" w:type="dxa"/>
            <w:tcBorders>
              <w:top w:val="nil"/>
              <w:bottom w:val="nil"/>
            </w:tcBorders>
          </w:tcPr>
          <w:p w:rsidR="00030318" w:rsidRDefault="00030318" w:rsidP="00030318">
            <w:pPr>
              <w:pStyle w:val="TableParagraph"/>
              <w:spacing w:line="199" w:lineRule="exact"/>
              <w:rPr>
                <w:sz w:val="20"/>
              </w:rPr>
            </w:pPr>
            <w:r>
              <w:rPr>
                <w:sz w:val="20"/>
              </w:rPr>
              <w:t>NAV (as at June 30, 2014)</w:t>
            </w:r>
          </w:p>
        </w:tc>
        <w:tc>
          <w:tcPr>
            <w:tcW w:w="2808" w:type="dxa"/>
            <w:tcBorders>
              <w:top w:val="nil"/>
              <w:bottom w:val="nil"/>
            </w:tcBorders>
          </w:tcPr>
          <w:p w:rsidR="00030318" w:rsidRDefault="00030318" w:rsidP="00030318">
            <w:pPr>
              <w:pStyle w:val="TableParagraph"/>
              <w:spacing w:line="199" w:lineRule="exact"/>
              <w:rPr>
                <w:sz w:val="20"/>
              </w:rPr>
            </w:pPr>
            <w:r>
              <w:rPr>
                <w:sz w:val="20"/>
              </w:rPr>
              <w:t>Rs. 100.2968</w:t>
            </w:r>
          </w:p>
        </w:tc>
        <w:tc>
          <w:tcPr>
            <w:tcW w:w="2520" w:type="dxa"/>
            <w:vMerge/>
            <w:tcBorders>
              <w:top w:val="nil"/>
            </w:tcBorders>
          </w:tcPr>
          <w:p w:rsidR="00030318" w:rsidRDefault="00030318" w:rsidP="00030318">
            <w:pPr>
              <w:rPr>
                <w:sz w:val="2"/>
                <w:szCs w:val="2"/>
              </w:rPr>
            </w:pPr>
          </w:p>
        </w:tc>
      </w:tr>
      <w:tr w:rsidR="00030318" w:rsidTr="00030318">
        <w:trPr>
          <w:gridAfter w:val="1"/>
          <w:wAfter w:w="890" w:type="dxa"/>
          <w:trHeight w:val="223"/>
        </w:trPr>
        <w:tc>
          <w:tcPr>
            <w:tcW w:w="3454" w:type="dxa"/>
            <w:tcBorders>
              <w:top w:val="nil"/>
            </w:tcBorders>
          </w:tcPr>
          <w:p w:rsidR="00030318" w:rsidRDefault="00030318" w:rsidP="00030318">
            <w:pPr>
              <w:pStyle w:val="TableParagraph"/>
              <w:spacing w:line="203" w:lineRule="exact"/>
              <w:rPr>
                <w:sz w:val="20"/>
              </w:rPr>
            </w:pPr>
            <w:r>
              <w:rPr>
                <w:sz w:val="20"/>
              </w:rPr>
              <w:t>NAV (as at June 30, 2013)</w:t>
            </w:r>
          </w:p>
        </w:tc>
        <w:tc>
          <w:tcPr>
            <w:tcW w:w="2808" w:type="dxa"/>
            <w:tcBorders>
              <w:top w:val="nil"/>
            </w:tcBorders>
          </w:tcPr>
          <w:p w:rsidR="00030318" w:rsidRDefault="00030318" w:rsidP="00030318">
            <w:pPr>
              <w:pStyle w:val="TableParagraph"/>
              <w:spacing w:line="203" w:lineRule="exact"/>
              <w:rPr>
                <w:sz w:val="20"/>
              </w:rPr>
            </w:pPr>
            <w:r>
              <w:rPr>
                <w:sz w:val="20"/>
              </w:rPr>
              <w:t>Rs. 105.2401</w:t>
            </w:r>
          </w:p>
        </w:tc>
        <w:tc>
          <w:tcPr>
            <w:tcW w:w="2520" w:type="dxa"/>
            <w:vMerge/>
            <w:tcBorders>
              <w:top w:val="nil"/>
            </w:tcBorders>
          </w:tcPr>
          <w:p w:rsidR="00030318" w:rsidRDefault="00030318" w:rsidP="00030318">
            <w:pPr>
              <w:rPr>
                <w:sz w:val="2"/>
                <w:szCs w:val="2"/>
              </w:rPr>
            </w:pPr>
          </w:p>
        </w:tc>
      </w:tr>
      <w:tr w:rsidR="00030318" w:rsidTr="00030318">
        <w:trPr>
          <w:gridAfter w:val="1"/>
          <w:wAfter w:w="890" w:type="dxa"/>
          <w:trHeight w:val="230"/>
        </w:trPr>
        <w:tc>
          <w:tcPr>
            <w:tcW w:w="3454" w:type="dxa"/>
          </w:tcPr>
          <w:p w:rsidR="00030318" w:rsidRDefault="00030318" w:rsidP="00030318">
            <w:pPr>
              <w:pStyle w:val="TableParagraph"/>
              <w:ind w:left="0"/>
              <w:rPr>
                <w:rFonts w:ascii="Times New Roman"/>
                <w:sz w:val="16"/>
              </w:rPr>
            </w:pPr>
          </w:p>
        </w:tc>
        <w:tc>
          <w:tcPr>
            <w:tcW w:w="2808" w:type="dxa"/>
          </w:tcPr>
          <w:p w:rsidR="00030318" w:rsidRDefault="00030318" w:rsidP="00030318">
            <w:pPr>
              <w:pStyle w:val="TableParagraph"/>
              <w:spacing w:line="210" w:lineRule="exact"/>
              <w:rPr>
                <w:sz w:val="20"/>
              </w:rPr>
            </w:pPr>
            <w:r>
              <w:rPr>
                <w:sz w:val="20"/>
              </w:rPr>
              <w:t>Pakistan Stock Exchange</w:t>
            </w:r>
          </w:p>
        </w:tc>
        <w:tc>
          <w:tcPr>
            <w:tcW w:w="2520" w:type="dxa"/>
          </w:tcPr>
          <w:p w:rsidR="00030318" w:rsidRDefault="00030318" w:rsidP="00030318">
            <w:pPr>
              <w:pStyle w:val="TableParagraph"/>
              <w:ind w:left="0"/>
              <w:rPr>
                <w:rFonts w:ascii="Times New Roman"/>
                <w:sz w:val="16"/>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3454" w:type="dxa"/>
            <w:tcBorders>
              <w:left w:val="single" w:sz="4" w:space="0" w:color="000000"/>
              <w:bottom w:val="single" w:sz="4" w:space="0" w:color="000000"/>
              <w:right w:val="single" w:sz="4" w:space="0" w:color="000000"/>
            </w:tcBorders>
          </w:tcPr>
          <w:p w:rsidR="00030318" w:rsidRDefault="00030318" w:rsidP="00030318">
            <w:pPr>
              <w:pStyle w:val="TableParagraph"/>
              <w:spacing w:line="212" w:lineRule="exact"/>
              <w:rPr>
                <w:sz w:val="20"/>
              </w:rPr>
            </w:pPr>
            <w:r>
              <w:rPr>
                <w:sz w:val="20"/>
              </w:rPr>
              <w:t>Listing</w:t>
            </w:r>
          </w:p>
        </w:tc>
        <w:tc>
          <w:tcPr>
            <w:tcW w:w="2808"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c>
          <w:tcPr>
            <w:tcW w:w="2520"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c>
          <w:tcPr>
            <w:tcW w:w="890" w:type="dxa"/>
            <w:vMerge w:val="restart"/>
            <w:tcBorders>
              <w:top w:val="single" w:sz="4" w:space="0" w:color="000000"/>
              <w:left w:val="single" w:sz="4" w:space="0" w:color="000000"/>
              <w:bottom w:val="nil"/>
              <w:right w:val="nil"/>
            </w:tcBorders>
          </w:tcPr>
          <w:p w:rsidR="00030318" w:rsidRDefault="00030318" w:rsidP="00030318">
            <w:pPr>
              <w:pStyle w:val="TableParagraph"/>
              <w:ind w:left="0"/>
              <w:rPr>
                <w:rFonts w:ascii="Times New Roman"/>
                <w:sz w:val="18"/>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3454"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Fund Rating:</w:t>
            </w:r>
          </w:p>
        </w:tc>
        <w:tc>
          <w:tcPr>
            <w:tcW w:w="2808"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AA</w:t>
            </w:r>
          </w:p>
        </w:tc>
        <w:tc>
          <w:tcPr>
            <w:tcW w:w="2520"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3454"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Performance:</w:t>
            </w:r>
          </w:p>
        </w:tc>
        <w:tc>
          <w:tcPr>
            <w:tcW w:w="2808"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Return (p.a.)</w:t>
            </w:r>
          </w:p>
        </w:tc>
        <w:tc>
          <w:tcPr>
            <w:tcW w:w="2520"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8"/>
              <w:rPr>
                <w:sz w:val="20"/>
              </w:rPr>
            </w:pPr>
            <w:r>
              <w:rPr>
                <w:sz w:val="20"/>
              </w:rPr>
              <w:t>Payout</w:t>
            </w: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5"/>
        </w:trPr>
        <w:tc>
          <w:tcPr>
            <w:tcW w:w="3454" w:type="dxa"/>
            <w:tcBorders>
              <w:top w:val="single" w:sz="4" w:space="0" w:color="000000"/>
              <w:left w:val="single" w:sz="4" w:space="0" w:color="000000"/>
              <w:bottom w:val="nil"/>
              <w:right w:val="single" w:sz="4" w:space="0" w:color="000000"/>
            </w:tcBorders>
          </w:tcPr>
          <w:p w:rsidR="00030318" w:rsidRDefault="00030318" w:rsidP="00030318">
            <w:pPr>
              <w:pStyle w:val="TableParagraph"/>
              <w:spacing w:line="206" w:lineRule="exact"/>
              <w:rPr>
                <w:sz w:val="20"/>
              </w:rPr>
            </w:pPr>
            <w:r>
              <w:rPr>
                <w:sz w:val="20"/>
              </w:rPr>
              <w:t>Year ended June 30 2017</w:t>
            </w:r>
          </w:p>
        </w:tc>
        <w:tc>
          <w:tcPr>
            <w:tcW w:w="2808" w:type="dxa"/>
            <w:tcBorders>
              <w:top w:val="single" w:sz="4" w:space="0" w:color="000000"/>
              <w:left w:val="single" w:sz="4" w:space="0" w:color="000000"/>
              <w:bottom w:val="nil"/>
              <w:right w:val="single" w:sz="4" w:space="0" w:color="000000"/>
            </w:tcBorders>
          </w:tcPr>
          <w:p w:rsidR="00030318" w:rsidRDefault="00030318" w:rsidP="00030318">
            <w:pPr>
              <w:pStyle w:val="TableParagraph"/>
              <w:ind w:left="0"/>
              <w:rPr>
                <w:rFonts w:ascii="Times New Roman"/>
                <w:sz w:val="16"/>
              </w:rPr>
            </w:pPr>
          </w:p>
        </w:tc>
        <w:tc>
          <w:tcPr>
            <w:tcW w:w="2520" w:type="dxa"/>
            <w:vMerge w:val="restart"/>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8" w:right="692"/>
              <w:rPr>
                <w:sz w:val="20"/>
              </w:rPr>
            </w:pPr>
            <w:r>
              <w:rPr>
                <w:sz w:val="20"/>
              </w:rPr>
              <w:t>Rs. 4.7100 per unit Rs. 4.85 per unit Rs. 6.61 per unit Rs.6.24 per unit Rs. 4.98 per unit</w:t>
            </w: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0"/>
        </w:trPr>
        <w:tc>
          <w:tcPr>
            <w:tcW w:w="3454"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Year ended June 30 2016</w:t>
            </w:r>
          </w:p>
        </w:tc>
        <w:tc>
          <w:tcPr>
            <w:tcW w:w="2808"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4.70%4.83%</w:t>
            </w:r>
          </w:p>
        </w:tc>
        <w:tc>
          <w:tcPr>
            <w:tcW w:w="2520"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0"/>
        </w:trPr>
        <w:tc>
          <w:tcPr>
            <w:tcW w:w="3454"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Year ended June 30 2015</w:t>
            </w:r>
          </w:p>
        </w:tc>
        <w:tc>
          <w:tcPr>
            <w:tcW w:w="2808"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6.55%</w:t>
            </w:r>
          </w:p>
        </w:tc>
        <w:tc>
          <w:tcPr>
            <w:tcW w:w="2520"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
        </w:trPr>
        <w:tc>
          <w:tcPr>
            <w:tcW w:w="3454"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Year ended June 30 2014</w:t>
            </w:r>
          </w:p>
        </w:tc>
        <w:tc>
          <w:tcPr>
            <w:tcW w:w="2808"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6.45%</w:t>
            </w:r>
          </w:p>
        </w:tc>
        <w:tc>
          <w:tcPr>
            <w:tcW w:w="2520"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
        </w:trPr>
        <w:tc>
          <w:tcPr>
            <w:tcW w:w="3454"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As at June 30, 2013</w:t>
            </w:r>
          </w:p>
        </w:tc>
        <w:tc>
          <w:tcPr>
            <w:tcW w:w="2808"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6.76%</w:t>
            </w:r>
          </w:p>
        </w:tc>
        <w:tc>
          <w:tcPr>
            <w:tcW w:w="2520"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890" w:type="dxa"/>
            <w:vMerge/>
            <w:tcBorders>
              <w:top w:val="nil"/>
              <w:left w:val="single" w:sz="4" w:space="0" w:color="000000"/>
              <w:bottom w:val="nil"/>
              <w:right w:val="nil"/>
            </w:tcBorders>
          </w:tcPr>
          <w:p w:rsidR="00030318" w:rsidRDefault="00030318" w:rsidP="00030318">
            <w:pPr>
              <w:rPr>
                <w:sz w:val="2"/>
                <w:szCs w:val="2"/>
              </w:rPr>
            </w:pPr>
          </w:p>
        </w:tc>
      </w:tr>
      <w:tr w:rsidR="00030318" w:rsidTr="000303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4"/>
        </w:trPr>
        <w:tc>
          <w:tcPr>
            <w:tcW w:w="3454"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05" w:lineRule="exact"/>
              <w:rPr>
                <w:sz w:val="20"/>
              </w:rPr>
            </w:pPr>
            <w:r>
              <w:rPr>
                <w:sz w:val="20"/>
              </w:rPr>
              <w:t>(since public launch)</w:t>
            </w:r>
          </w:p>
        </w:tc>
        <w:tc>
          <w:tcPr>
            <w:tcW w:w="2808" w:type="dxa"/>
            <w:tcBorders>
              <w:top w:val="nil"/>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c>
          <w:tcPr>
            <w:tcW w:w="2520"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890" w:type="dxa"/>
            <w:vMerge/>
            <w:tcBorders>
              <w:top w:val="nil"/>
              <w:left w:val="single" w:sz="4" w:space="0" w:color="000000"/>
              <w:bottom w:val="nil"/>
              <w:right w:val="nil"/>
            </w:tcBorders>
          </w:tcPr>
          <w:p w:rsidR="00030318" w:rsidRDefault="00030318" w:rsidP="00030318">
            <w:pPr>
              <w:rPr>
                <w:sz w:val="2"/>
                <w:szCs w:val="2"/>
              </w:rPr>
            </w:pPr>
          </w:p>
        </w:tc>
      </w:tr>
    </w:tbl>
    <w:p w:rsidR="00030318" w:rsidRDefault="00030318" w:rsidP="00030318">
      <w:pPr>
        <w:pStyle w:val="BodyText"/>
        <w:spacing w:before="5"/>
        <w:rPr>
          <w:sz w:val="11"/>
        </w:rPr>
      </w:pPr>
    </w:p>
    <w:p w:rsidR="00030318" w:rsidRDefault="00030318" w:rsidP="00030318">
      <w:pPr>
        <w:pStyle w:val="Heading5"/>
        <w:spacing w:before="93"/>
        <w:ind w:left="621"/>
      </w:pPr>
      <w:r>
        <w:t>UBL Money Market FUND (UMMF)</w:t>
      </w:r>
    </w:p>
    <w:p w:rsidR="00030318" w:rsidRDefault="00030318" w:rsidP="00030318">
      <w:pPr>
        <w:spacing w:before="1"/>
        <w:ind w:left="621"/>
        <w:rPr>
          <w:b/>
          <w:sz w:val="20"/>
        </w:rPr>
      </w:pPr>
      <w:r>
        <w:rPr>
          <w:b/>
          <w:sz w:val="20"/>
        </w:rPr>
        <w:t>(formerly UBL Savings Income Fund (USIF))</w:t>
      </w:r>
    </w:p>
    <w:p w:rsidR="00030318" w:rsidRDefault="00030318" w:rsidP="00030318">
      <w:pPr>
        <w:pStyle w:val="BodyText"/>
        <w:spacing w:before="5"/>
        <w:rPr>
          <w:b/>
        </w:rPr>
      </w:pPr>
    </w:p>
    <w:p w:rsidR="00030318" w:rsidRDefault="00030318" w:rsidP="00030318">
      <w:pPr>
        <w:pStyle w:val="BodyText"/>
        <w:ind w:left="621" w:right="907"/>
        <w:jc w:val="both"/>
      </w:pPr>
      <w:r>
        <w:t>UBL Money Market Fund is an open</w:t>
      </w:r>
      <w:r>
        <w:rPr>
          <w:rFonts w:ascii="Cambria Math" w:hAnsi="Cambria Math"/>
        </w:rPr>
        <w:t>‐</w:t>
      </w:r>
      <w:r>
        <w:t>end Money Market fund which aims to provide a competitive rate of return, with a moderate level of risk to its investors by investing in fixed income securities / instruments. The Fund invests in Government Securities, deposits with and lending to banks &amp; DFIs, Commercial Paper, and other permissible money market/fixed income based investments. The Fund aims to maintain weighted average time to maturity of the portfolio not exceeding 4 years.</w:t>
      </w:r>
    </w:p>
    <w:p w:rsidR="00030318" w:rsidRDefault="00030318" w:rsidP="00030318">
      <w:pPr>
        <w:pStyle w:val="BodyText"/>
        <w:spacing w:before="11"/>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808"/>
        <w:gridCol w:w="2520"/>
      </w:tblGrid>
      <w:tr w:rsidR="00030318" w:rsidTr="00030318">
        <w:trPr>
          <w:trHeight w:val="230"/>
        </w:trPr>
        <w:tc>
          <w:tcPr>
            <w:tcW w:w="3454" w:type="dxa"/>
          </w:tcPr>
          <w:p w:rsidR="00030318" w:rsidRDefault="00030318" w:rsidP="00030318">
            <w:pPr>
              <w:pStyle w:val="TableParagraph"/>
              <w:spacing w:line="210" w:lineRule="exact"/>
              <w:rPr>
                <w:sz w:val="20"/>
              </w:rPr>
            </w:pPr>
            <w:r>
              <w:rPr>
                <w:sz w:val="20"/>
              </w:rPr>
              <w:t>Date of launching</w:t>
            </w:r>
          </w:p>
        </w:tc>
        <w:tc>
          <w:tcPr>
            <w:tcW w:w="2808" w:type="dxa"/>
          </w:tcPr>
          <w:p w:rsidR="00030318" w:rsidRDefault="00030318" w:rsidP="00030318">
            <w:pPr>
              <w:pStyle w:val="TableParagraph"/>
              <w:spacing w:line="210" w:lineRule="exact"/>
              <w:rPr>
                <w:sz w:val="20"/>
              </w:rPr>
            </w:pPr>
            <w:r>
              <w:rPr>
                <w:sz w:val="20"/>
              </w:rPr>
              <w:t>14 October 2010</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Par Value of units</w:t>
            </w:r>
          </w:p>
        </w:tc>
        <w:tc>
          <w:tcPr>
            <w:tcW w:w="2808" w:type="dxa"/>
          </w:tcPr>
          <w:p w:rsidR="00030318" w:rsidRDefault="00030318" w:rsidP="00030318">
            <w:pPr>
              <w:pStyle w:val="TableParagraph"/>
              <w:spacing w:line="210" w:lineRule="exact"/>
              <w:rPr>
                <w:sz w:val="20"/>
              </w:rPr>
            </w:pPr>
            <w:r>
              <w:rPr>
                <w:sz w:val="20"/>
              </w:rPr>
              <w:t>Rs. 100</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sidRPr="00E65CA8">
              <w:rPr>
                <w:sz w:val="20"/>
              </w:rPr>
              <w:t>Net Assets (as at Feb 19 2019)</w:t>
            </w:r>
          </w:p>
        </w:tc>
        <w:tc>
          <w:tcPr>
            <w:tcW w:w="2808" w:type="dxa"/>
          </w:tcPr>
          <w:p w:rsidR="00030318" w:rsidRDefault="00030318" w:rsidP="00030318">
            <w:pPr>
              <w:pStyle w:val="TableParagraph"/>
              <w:spacing w:line="210" w:lineRule="exact"/>
              <w:rPr>
                <w:sz w:val="20"/>
              </w:rPr>
            </w:pPr>
            <w:r>
              <w:rPr>
                <w:sz w:val="20"/>
              </w:rPr>
              <w:t>Rs. 1,873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June 30 2018)</w:t>
            </w:r>
          </w:p>
        </w:tc>
        <w:tc>
          <w:tcPr>
            <w:tcW w:w="2808" w:type="dxa"/>
          </w:tcPr>
          <w:p w:rsidR="00030318" w:rsidRDefault="00030318" w:rsidP="00030318">
            <w:pPr>
              <w:pStyle w:val="TableParagraph"/>
              <w:spacing w:line="210" w:lineRule="exact"/>
              <w:rPr>
                <w:sz w:val="20"/>
              </w:rPr>
            </w:pPr>
            <w:r>
              <w:rPr>
                <w:sz w:val="20"/>
              </w:rPr>
              <w:t>Rs. 1.6Bn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30 June 2017)</w:t>
            </w:r>
          </w:p>
        </w:tc>
        <w:tc>
          <w:tcPr>
            <w:tcW w:w="2808" w:type="dxa"/>
          </w:tcPr>
          <w:p w:rsidR="00030318" w:rsidRDefault="00030318" w:rsidP="00030318">
            <w:pPr>
              <w:pStyle w:val="TableParagraph"/>
              <w:spacing w:line="210" w:lineRule="exact"/>
              <w:rPr>
                <w:sz w:val="20"/>
              </w:rPr>
            </w:pPr>
            <w:r>
              <w:rPr>
                <w:sz w:val="20"/>
              </w:rPr>
              <w:t>Rs. 876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June 30 2016)</w:t>
            </w:r>
          </w:p>
        </w:tc>
        <w:tc>
          <w:tcPr>
            <w:tcW w:w="2808" w:type="dxa"/>
          </w:tcPr>
          <w:p w:rsidR="00030318" w:rsidRDefault="00030318" w:rsidP="00030318">
            <w:pPr>
              <w:pStyle w:val="TableParagraph"/>
              <w:spacing w:line="210" w:lineRule="exact"/>
              <w:rPr>
                <w:sz w:val="20"/>
              </w:rPr>
            </w:pPr>
            <w:r>
              <w:rPr>
                <w:sz w:val="20"/>
              </w:rPr>
              <w:t>645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29"/>
        </w:trPr>
        <w:tc>
          <w:tcPr>
            <w:tcW w:w="3454" w:type="dxa"/>
          </w:tcPr>
          <w:p w:rsidR="00030318" w:rsidRDefault="00030318" w:rsidP="00030318">
            <w:pPr>
              <w:pStyle w:val="TableParagraph"/>
              <w:spacing w:line="210" w:lineRule="exact"/>
              <w:rPr>
                <w:sz w:val="20"/>
              </w:rPr>
            </w:pPr>
            <w:r>
              <w:rPr>
                <w:sz w:val="20"/>
              </w:rPr>
              <w:t>Net Assets (as at June 30 2015)</w:t>
            </w:r>
          </w:p>
        </w:tc>
        <w:tc>
          <w:tcPr>
            <w:tcW w:w="2808" w:type="dxa"/>
          </w:tcPr>
          <w:p w:rsidR="00030318" w:rsidRDefault="00030318" w:rsidP="00030318">
            <w:pPr>
              <w:pStyle w:val="TableParagraph"/>
              <w:spacing w:line="210" w:lineRule="exact"/>
              <w:rPr>
                <w:sz w:val="20"/>
              </w:rPr>
            </w:pPr>
            <w:r>
              <w:rPr>
                <w:sz w:val="20"/>
              </w:rPr>
              <w:t>2,069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June 30 2014)</w:t>
            </w:r>
          </w:p>
        </w:tc>
        <w:tc>
          <w:tcPr>
            <w:tcW w:w="2808" w:type="dxa"/>
          </w:tcPr>
          <w:p w:rsidR="00030318" w:rsidRDefault="00030318" w:rsidP="00030318">
            <w:pPr>
              <w:pStyle w:val="TableParagraph"/>
              <w:spacing w:line="210" w:lineRule="exact"/>
              <w:rPr>
                <w:sz w:val="20"/>
              </w:rPr>
            </w:pPr>
            <w:r>
              <w:rPr>
                <w:sz w:val="20"/>
              </w:rPr>
              <w:t>1,555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30 June 2013)</w:t>
            </w:r>
          </w:p>
        </w:tc>
        <w:tc>
          <w:tcPr>
            <w:tcW w:w="2808" w:type="dxa"/>
          </w:tcPr>
          <w:p w:rsidR="00030318" w:rsidRDefault="00030318" w:rsidP="00030318">
            <w:pPr>
              <w:pStyle w:val="TableParagraph"/>
              <w:spacing w:line="210" w:lineRule="exact"/>
              <w:rPr>
                <w:sz w:val="20"/>
              </w:rPr>
            </w:pPr>
            <w:r>
              <w:rPr>
                <w:sz w:val="20"/>
              </w:rPr>
              <w:t>2,595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30 June 2012)</w:t>
            </w:r>
          </w:p>
        </w:tc>
        <w:tc>
          <w:tcPr>
            <w:tcW w:w="2808" w:type="dxa"/>
          </w:tcPr>
          <w:p w:rsidR="00030318" w:rsidRDefault="00030318" w:rsidP="00030318">
            <w:pPr>
              <w:pStyle w:val="TableParagraph"/>
              <w:spacing w:line="210" w:lineRule="exact"/>
              <w:rPr>
                <w:sz w:val="20"/>
              </w:rPr>
            </w:pPr>
            <w:r>
              <w:rPr>
                <w:sz w:val="20"/>
              </w:rPr>
              <w:t>5,555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Net Assets (as at 30 June 2011)</w:t>
            </w:r>
          </w:p>
        </w:tc>
        <w:tc>
          <w:tcPr>
            <w:tcW w:w="2808" w:type="dxa"/>
          </w:tcPr>
          <w:p w:rsidR="00030318" w:rsidRDefault="00030318" w:rsidP="00030318">
            <w:pPr>
              <w:pStyle w:val="TableParagraph"/>
              <w:spacing w:line="210" w:lineRule="exact"/>
              <w:rPr>
                <w:sz w:val="20"/>
              </w:rPr>
            </w:pPr>
            <w:r>
              <w:rPr>
                <w:sz w:val="20"/>
              </w:rPr>
              <w:t>Rs. 2,206 Million</w:t>
            </w:r>
          </w:p>
        </w:tc>
        <w:tc>
          <w:tcPr>
            <w:tcW w:w="2520" w:type="dxa"/>
          </w:tcPr>
          <w:p w:rsidR="00030318" w:rsidRDefault="00030318" w:rsidP="00030318">
            <w:pPr>
              <w:pStyle w:val="TableParagraph"/>
              <w:ind w:left="0"/>
              <w:rPr>
                <w:rFonts w:ascii="Times New Roman"/>
                <w:sz w:val="16"/>
              </w:rPr>
            </w:pPr>
          </w:p>
        </w:tc>
      </w:tr>
      <w:tr w:rsidR="00030318" w:rsidTr="00030318">
        <w:trPr>
          <w:trHeight w:val="208"/>
        </w:trPr>
        <w:tc>
          <w:tcPr>
            <w:tcW w:w="3454" w:type="dxa"/>
            <w:tcBorders>
              <w:bottom w:val="nil"/>
            </w:tcBorders>
          </w:tcPr>
          <w:p w:rsidR="00030318" w:rsidRDefault="00030318" w:rsidP="00030318">
            <w:pPr>
              <w:pStyle w:val="TableParagraph"/>
              <w:spacing w:line="206" w:lineRule="exact"/>
              <w:rPr>
                <w:sz w:val="20"/>
              </w:rPr>
            </w:pPr>
            <w:r w:rsidRPr="00E65CA8">
              <w:rPr>
                <w:sz w:val="20"/>
              </w:rPr>
              <w:t>NAV (as at Feb 19, 2019)</w:t>
            </w:r>
          </w:p>
        </w:tc>
        <w:tc>
          <w:tcPr>
            <w:tcW w:w="2808" w:type="dxa"/>
          </w:tcPr>
          <w:p w:rsidR="00030318" w:rsidRDefault="00030318" w:rsidP="00030318">
            <w:pPr>
              <w:pStyle w:val="TableParagraph"/>
              <w:spacing w:before="112"/>
              <w:rPr>
                <w:sz w:val="20"/>
              </w:rPr>
            </w:pPr>
            <w:r>
              <w:rPr>
                <w:sz w:val="20"/>
              </w:rPr>
              <w:t xml:space="preserve">Rs. </w:t>
            </w:r>
            <w:r w:rsidRPr="00E65CA8">
              <w:rPr>
                <w:sz w:val="20"/>
              </w:rPr>
              <w:t>105.4266</w:t>
            </w:r>
          </w:p>
        </w:tc>
        <w:tc>
          <w:tcPr>
            <w:tcW w:w="2520" w:type="dxa"/>
          </w:tcPr>
          <w:p w:rsidR="00030318" w:rsidRDefault="00030318" w:rsidP="00030318">
            <w:pPr>
              <w:pStyle w:val="TableParagraph"/>
              <w:ind w:left="0"/>
              <w:rPr>
                <w:rFonts w:ascii="Times New Roman"/>
                <w:sz w:val="18"/>
              </w:rPr>
            </w:pPr>
          </w:p>
        </w:tc>
      </w:tr>
      <w:tr w:rsidR="00030318" w:rsidTr="00030318">
        <w:trPr>
          <w:trHeight w:val="226"/>
        </w:trPr>
        <w:tc>
          <w:tcPr>
            <w:tcW w:w="3454" w:type="dxa"/>
            <w:tcBorders>
              <w:bottom w:val="nil"/>
            </w:tcBorders>
          </w:tcPr>
          <w:p w:rsidR="00030318" w:rsidRDefault="00030318" w:rsidP="00030318">
            <w:pPr>
              <w:pStyle w:val="TableParagraph"/>
              <w:spacing w:line="206" w:lineRule="exact"/>
              <w:rPr>
                <w:sz w:val="20"/>
              </w:rPr>
            </w:pPr>
            <w:r>
              <w:rPr>
                <w:sz w:val="20"/>
              </w:rPr>
              <w:lastRenderedPageBreak/>
              <w:t>NAV (as at June 30 2017)</w:t>
            </w:r>
          </w:p>
        </w:tc>
        <w:tc>
          <w:tcPr>
            <w:tcW w:w="2808" w:type="dxa"/>
            <w:vMerge w:val="restart"/>
          </w:tcPr>
          <w:p w:rsidR="00030318" w:rsidRDefault="00030318" w:rsidP="00030318">
            <w:pPr>
              <w:pStyle w:val="TableParagraph"/>
              <w:spacing w:before="112"/>
              <w:rPr>
                <w:sz w:val="20"/>
              </w:rPr>
            </w:pPr>
            <w:r>
              <w:rPr>
                <w:sz w:val="20"/>
              </w:rPr>
              <w:t>100.4661100.4353</w:t>
            </w:r>
          </w:p>
          <w:p w:rsidR="00030318" w:rsidRDefault="00030318" w:rsidP="00030318">
            <w:pPr>
              <w:pStyle w:val="TableParagraph"/>
              <w:spacing w:before="1"/>
              <w:rPr>
                <w:sz w:val="20"/>
              </w:rPr>
            </w:pPr>
            <w:r>
              <w:rPr>
                <w:sz w:val="20"/>
              </w:rPr>
              <w:t>100.36</w:t>
            </w:r>
          </w:p>
          <w:p w:rsidR="00030318" w:rsidRDefault="00030318" w:rsidP="00030318">
            <w:pPr>
              <w:pStyle w:val="TableParagraph"/>
              <w:rPr>
                <w:sz w:val="20"/>
              </w:rPr>
            </w:pPr>
            <w:r>
              <w:rPr>
                <w:sz w:val="20"/>
              </w:rPr>
              <w:t>100.5662</w:t>
            </w:r>
          </w:p>
          <w:p w:rsidR="00030318" w:rsidRDefault="00030318" w:rsidP="00030318">
            <w:pPr>
              <w:pStyle w:val="TableParagraph"/>
              <w:spacing w:before="1"/>
              <w:rPr>
                <w:sz w:val="20"/>
              </w:rPr>
            </w:pPr>
            <w:r>
              <w:rPr>
                <w:sz w:val="20"/>
              </w:rPr>
              <w:t>100.2752</w:t>
            </w:r>
          </w:p>
          <w:p w:rsidR="00030318" w:rsidRDefault="00030318" w:rsidP="00030318">
            <w:pPr>
              <w:pStyle w:val="TableParagraph"/>
              <w:rPr>
                <w:sz w:val="20"/>
              </w:rPr>
            </w:pPr>
            <w:r>
              <w:rPr>
                <w:sz w:val="20"/>
              </w:rPr>
              <w:t>100.5197</w:t>
            </w:r>
          </w:p>
          <w:p w:rsidR="00030318" w:rsidRDefault="00030318" w:rsidP="00030318">
            <w:pPr>
              <w:pStyle w:val="TableParagraph"/>
              <w:rPr>
                <w:sz w:val="20"/>
              </w:rPr>
            </w:pPr>
            <w:r>
              <w:rPr>
                <w:sz w:val="20"/>
              </w:rPr>
              <w:t>101.1386</w:t>
            </w:r>
          </w:p>
        </w:tc>
        <w:tc>
          <w:tcPr>
            <w:tcW w:w="2520" w:type="dxa"/>
            <w:vMerge w:val="restart"/>
          </w:tcPr>
          <w:p w:rsidR="00030318" w:rsidRDefault="00030318" w:rsidP="00030318">
            <w:pPr>
              <w:pStyle w:val="TableParagraph"/>
              <w:ind w:left="0"/>
              <w:rPr>
                <w:rFonts w:ascii="Times New Roman"/>
                <w:sz w:val="18"/>
              </w:rPr>
            </w:pPr>
          </w:p>
        </w:tc>
      </w:tr>
      <w:tr w:rsidR="00030318" w:rsidTr="00030318">
        <w:trPr>
          <w:trHeight w:val="220"/>
        </w:trPr>
        <w:tc>
          <w:tcPr>
            <w:tcW w:w="3454" w:type="dxa"/>
            <w:tcBorders>
              <w:top w:val="nil"/>
              <w:bottom w:val="nil"/>
            </w:tcBorders>
          </w:tcPr>
          <w:p w:rsidR="00030318" w:rsidRDefault="00030318" w:rsidP="00030318">
            <w:pPr>
              <w:pStyle w:val="TableParagraph"/>
              <w:spacing w:line="200" w:lineRule="exact"/>
              <w:rPr>
                <w:sz w:val="20"/>
              </w:rPr>
            </w:pPr>
            <w:r>
              <w:rPr>
                <w:sz w:val="20"/>
              </w:rPr>
              <w:t>NAV (as at June 30 2016)</w:t>
            </w:r>
          </w:p>
        </w:tc>
        <w:tc>
          <w:tcPr>
            <w:tcW w:w="2808" w:type="dxa"/>
            <w:vMerge/>
            <w:tcBorders>
              <w:top w:val="nil"/>
            </w:tcBorders>
          </w:tcPr>
          <w:p w:rsidR="00030318" w:rsidRDefault="00030318" w:rsidP="00030318">
            <w:pPr>
              <w:rPr>
                <w:sz w:val="2"/>
                <w:szCs w:val="2"/>
              </w:rPr>
            </w:pPr>
          </w:p>
        </w:tc>
        <w:tc>
          <w:tcPr>
            <w:tcW w:w="2520" w:type="dxa"/>
            <w:vMerge/>
            <w:tcBorders>
              <w:top w:val="nil"/>
            </w:tcBorders>
          </w:tcPr>
          <w:p w:rsidR="00030318" w:rsidRDefault="00030318" w:rsidP="00030318">
            <w:pPr>
              <w:rPr>
                <w:sz w:val="2"/>
                <w:szCs w:val="2"/>
              </w:rPr>
            </w:pPr>
          </w:p>
        </w:tc>
      </w:tr>
      <w:tr w:rsidR="00030318" w:rsidTr="00030318">
        <w:trPr>
          <w:trHeight w:val="220"/>
        </w:trPr>
        <w:tc>
          <w:tcPr>
            <w:tcW w:w="3454" w:type="dxa"/>
            <w:tcBorders>
              <w:top w:val="nil"/>
              <w:bottom w:val="nil"/>
            </w:tcBorders>
          </w:tcPr>
          <w:p w:rsidR="00030318" w:rsidRDefault="00030318" w:rsidP="00030318">
            <w:pPr>
              <w:pStyle w:val="TableParagraph"/>
              <w:spacing w:line="200" w:lineRule="exact"/>
              <w:rPr>
                <w:sz w:val="20"/>
              </w:rPr>
            </w:pPr>
            <w:r>
              <w:rPr>
                <w:sz w:val="20"/>
              </w:rPr>
              <w:t>NAV (as at June 30 2015)</w:t>
            </w:r>
          </w:p>
        </w:tc>
        <w:tc>
          <w:tcPr>
            <w:tcW w:w="2808" w:type="dxa"/>
            <w:vMerge/>
            <w:tcBorders>
              <w:top w:val="nil"/>
            </w:tcBorders>
          </w:tcPr>
          <w:p w:rsidR="00030318" w:rsidRDefault="00030318" w:rsidP="00030318">
            <w:pPr>
              <w:rPr>
                <w:sz w:val="2"/>
                <w:szCs w:val="2"/>
              </w:rPr>
            </w:pPr>
          </w:p>
        </w:tc>
        <w:tc>
          <w:tcPr>
            <w:tcW w:w="2520" w:type="dxa"/>
            <w:vMerge/>
            <w:tcBorders>
              <w:top w:val="nil"/>
            </w:tcBorders>
          </w:tcPr>
          <w:p w:rsidR="00030318" w:rsidRDefault="00030318" w:rsidP="00030318">
            <w:pPr>
              <w:rPr>
                <w:sz w:val="2"/>
                <w:szCs w:val="2"/>
              </w:rPr>
            </w:pPr>
          </w:p>
        </w:tc>
      </w:tr>
      <w:tr w:rsidR="00030318" w:rsidTr="00030318">
        <w:trPr>
          <w:trHeight w:val="220"/>
        </w:trPr>
        <w:tc>
          <w:tcPr>
            <w:tcW w:w="3454" w:type="dxa"/>
            <w:tcBorders>
              <w:top w:val="nil"/>
              <w:bottom w:val="nil"/>
            </w:tcBorders>
          </w:tcPr>
          <w:p w:rsidR="00030318" w:rsidRDefault="00030318" w:rsidP="00030318">
            <w:pPr>
              <w:pStyle w:val="TableParagraph"/>
              <w:spacing w:line="200" w:lineRule="exact"/>
              <w:rPr>
                <w:sz w:val="20"/>
              </w:rPr>
            </w:pPr>
            <w:r>
              <w:rPr>
                <w:sz w:val="20"/>
              </w:rPr>
              <w:t>NAV (as at June 30 2014)</w:t>
            </w:r>
          </w:p>
        </w:tc>
        <w:tc>
          <w:tcPr>
            <w:tcW w:w="2808" w:type="dxa"/>
            <w:vMerge/>
            <w:tcBorders>
              <w:top w:val="nil"/>
            </w:tcBorders>
          </w:tcPr>
          <w:p w:rsidR="00030318" w:rsidRDefault="00030318" w:rsidP="00030318">
            <w:pPr>
              <w:rPr>
                <w:sz w:val="2"/>
                <w:szCs w:val="2"/>
              </w:rPr>
            </w:pPr>
          </w:p>
        </w:tc>
        <w:tc>
          <w:tcPr>
            <w:tcW w:w="2520" w:type="dxa"/>
            <w:vMerge/>
            <w:tcBorders>
              <w:top w:val="nil"/>
            </w:tcBorders>
          </w:tcPr>
          <w:p w:rsidR="00030318" w:rsidRDefault="00030318" w:rsidP="00030318">
            <w:pPr>
              <w:rPr>
                <w:sz w:val="2"/>
                <w:szCs w:val="2"/>
              </w:rPr>
            </w:pPr>
          </w:p>
        </w:tc>
      </w:tr>
      <w:tr w:rsidR="00030318" w:rsidTr="00030318">
        <w:trPr>
          <w:trHeight w:val="220"/>
        </w:trPr>
        <w:tc>
          <w:tcPr>
            <w:tcW w:w="3454" w:type="dxa"/>
            <w:tcBorders>
              <w:top w:val="nil"/>
              <w:bottom w:val="nil"/>
            </w:tcBorders>
          </w:tcPr>
          <w:p w:rsidR="00030318" w:rsidRDefault="00030318" w:rsidP="00030318">
            <w:pPr>
              <w:pStyle w:val="TableParagraph"/>
              <w:spacing w:line="200" w:lineRule="exact"/>
              <w:rPr>
                <w:sz w:val="20"/>
              </w:rPr>
            </w:pPr>
            <w:r>
              <w:rPr>
                <w:sz w:val="20"/>
              </w:rPr>
              <w:t>NAV( as at 30 June 2013)</w:t>
            </w:r>
          </w:p>
        </w:tc>
        <w:tc>
          <w:tcPr>
            <w:tcW w:w="2808" w:type="dxa"/>
            <w:vMerge/>
            <w:tcBorders>
              <w:top w:val="nil"/>
            </w:tcBorders>
          </w:tcPr>
          <w:p w:rsidR="00030318" w:rsidRDefault="00030318" w:rsidP="00030318">
            <w:pPr>
              <w:rPr>
                <w:sz w:val="2"/>
                <w:szCs w:val="2"/>
              </w:rPr>
            </w:pPr>
          </w:p>
        </w:tc>
        <w:tc>
          <w:tcPr>
            <w:tcW w:w="2520" w:type="dxa"/>
            <w:vMerge/>
            <w:tcBorders>
              <w:top w:val="nil"/>
            </w:tcBorders>
          </w:tcPr>
          <w:p w:rsidR="00030318" w:rsidRDefault="00030318" w:rsidP="00030318">
            <w:pPr>
              <w:rPr>
                <w:sz w:val="2"/>
                <w:szCs w:val="2"/>
              </w:rPr>
            </w:pPr>
          </w:p>
        </w:tc>
      </w:tr>
      <w:tr w:rsidR="00030318" w:rsidTr="00030318">
        <w:trPr>
          <w:trHeight w:val="219"/>
        </w:trPr>
        <w:tc>
          <w:tcPr>
            <w:tcW w:w="3454" w:type="dxa"/>
            <w:tcBorders>
              <w:top w:val="nil"/>
              <w:bottom w:val="nil"/>
            </w:tcBorders>
          </w:tcPr>
          <w:p w:rsidR="00030318" w:rsidRDefault="00030318" w:rsidP="00030318">
            <w:pPr>
              <w:pStyle w:val="TableParagraph"/>
              <w:spacing w:line="199" w:lineRule="exact"/>
              <w:rPr>
                <w:sz w:val="20"/>
              </w:rPr>
            </w:pPr>
            <w:r>
              <w:rPr>
                <w:sz w:val="20"/>
              </w:rPr>
              <w:t>NAV (as at 30 June 2012)</w:t>
            </w:r>
          </w:p>
        </w:tc>
        <w:tc>
          <w:tcPr>
            <w:tcW w:w="2808" w:type="dxa"/>
            <w:vMerge/>
            <w:tcBorders>
              <w:top w:val="nil"/>
            </w:tcBorders>
          </w:tcPr>
          <w:p w:rsidR="00030318" w:rsidRDefault="00030318" w:rsidP="00030318">
            <w:pPr>
              <w:rPr>
                <w:sz w:val="2"/>
                <w:szCs w:val="2"/>
              </w:rPr>
            </w:pPr>
          </w:p>
        </w:tc>
        <w:tc>
          <w:tcPr>
            <w:tcW w:w="2520" w:type="dxa"/>
            <w:vMerge/>
            <w:tcBorders>
              <w:top w:val="nil"/>
            </w:tcBorders>
          </w:tcPr>
          <w:p w:rsidR="00030318" w:rsidRDefault="00030318" w:rsidP="00030318">
            <w:pPr>
              <w:rPr>
                <w:sz w:val="2"/>
                <w:szCs w:val="2"/>
              </w:rPr>
            </w:pPr>
          </w:p>
        </w:tc>
      </w:tr>
      <w:tr w:rsidR="00030318" w:rsidTr="00030318">
        <w:trPr>
          <w:trHeight w:val="223"/>
        </w:trPr>
        <w:tc>
          <w:tcPr>
            <w:tcW w:w="3454" w:type="dxa"/>
            <w:tcBorders>
              <w:top w:val="nil"/>
            </w:tcBorders>
          </w:tcPr>
          <w:p w:rsidR="00030318" w:rsidRDefault="00030318" w:rsidP="00030318">
            <w:pPr>
              <w:pStyle w:val="TableParagraph"/>
              <w:spacing w:line="203" w:lineRule="exact"/>
              <w:rPr>
                <w:sz w:val="20"/>
              </w:rPr>
            </w:pPr>
            <w:r>
              <w:rPr>
                <w:sz w:val="20"/>
              </w:rPr>
              <w:t>NAV (as at 30 June 2011)</w:t>
            </w:r>
          </w:p>
        </w:tc>
        <w:tc>
          <w:tcPr>
            <w:tcW w:w="2808" w:type="dxa"/>
            <w:vMerge/>
            <w:tcBorders>
              <w:top w:val="nil"/>
            </w:tcBorders>
          </w:tcPr>
          <w:p w:rsidR="00030318" w:rsidRDefault="00030318" w:rsidP="00030318">
            <w:pPr>
              <w:rPr>
                <w:sz w:val="2"/>
                <w:szCs w:val="2"/>
              </w:rPr>
            </w:pPr>
          </w:p>
        </w:tc>
        <w:tc>
          <w:tcPr>
            <w:tcW w:w="2520" w:type="dxa"/>
            <w:vMerge/>
            <w:tcBorders>
              <w:top w:val="nil"/>
            </w:tcBorders>
          </w:tcPr>
          <w:p w:rsidR="00030318" w:rsidRDefault="00030318" w:rsidP="00030318">
            <w:pPr>
              <w:rPr>
                <w:sz w:val="2"/>
                <w:szCs w:val="2"/>
              </w:rPr>
            </w:pPr>
          </w:p>
        </w:tc>
      </w:tr>
      <w:tr w:rsidR="00030318" w:rsidTr="00030318">
        <w:trPr>
          <w:trHeight w:val="460"/>
        </w:trPr>
        <w:tc>
          <w:tcPr>
            <w:tcW w:w="3454" w:type="dxa"/>
          </w:tcPr>
          <w:p w:rsidR="00030318" w:rsidRDefault="00030318" w:rsidP="00030318">
            <w:pPr>
              <w:pStyle w:val="TableParagraph"/>
              <w:spacing w:before="112"/>
              <w:rPr>
                <w:sz w:val="20"/>
              </w:rPr>
            </w:pPr>
            <w:r>
              <w:rPr>
                <w:sz w:val="20"/>
              </w:rPr>
              <w:t>Listing</w:t>
            </w:r>
          </w:p>
        </w:tc>
        <w:tc>
          <w:tcPr>
            <w:tcW w:w="2808" w:type="dxa"/>
          </w:tcPr>
          <w:p w:rsidR="00030318" w:rsidRDefault="00030318" w:rsidP="00030318">
            <w:pPr>
              <w:pStyle w:val="TableParagraph"/>
              <w:spacing w:line="227" w:lineRule="exact"/>
              <w:rPr>
                <w:sz w:val="20"/>
              </w:rPr>
            </w:pPr>
            <w:r>
              <w:rPr>
                <w:sz w:val="20"/>
              </w:rPr>
              <w:t>Pakistan Stock Exchange</w:t>
            </w:r>
          </w:p>
        </w:tc>
        <w:tc>
          <w:tcPr>
            <w:tcW w:w="2520" w:type="dxa"/>
          </w:tcPr>
          <w:p w:rsidR="00030318" w:rsidRDefault="00030318" w:rsidP="00030318">
            <w:pPr>
              <w:pStyle w:val="TableParagraph"/>
              <w:ind w:left="0"/>
              <w:rPr>
                <w:rFonts w:ascii="Times New Roman"/>
                <w:sz w:val="18"/>
              </w:rPr>
            </w:pPr>
          </w:p>
        </w:tc>
      </w:tr>
      <w:tr w:rsidR="00030318" w:rsidTr="00030318">
        <w:trPr>
          <w:trHeight w:val="460"/>
        </w:trPr>
        <w:tc>
          <w:tcPr>
            <w:tcW w:w="3454" w:type="dxa"/>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line="213" w:lineRule="exact"/>
              <w:rPr>
                <w:sz w:val="20"/>
              </w:rPr>
            </w:pPr>
            <w:r>
              <w:rPr>
                <w:sz w:val="20"/>
              </w:rPr>
              <w:t>(Credit Rating Agency: JCR-VIS)</w:t>
            </w:r>
          </w:p>
        </w:tc>
        <w:tc>
          <w:tcPr>
            <w:tcW w:w="2808" w:type="dxa"/>
          </w:tcPr>
          <w:p w:rsidR="00030318" w:rsidRDefault="00030318" w:rsidP="00030318">
            <w:pPr>
              <w:pStyle w:val="TableParagraph"/>
              <w:spacing w:before="8"/>
              <w:ind w:left="0"/>
              <w:rPr>
                <w:sz w:val="19"/>
              </w:rPr>
            </w:pPr>
          </w:p>
          <w:p w:rsidR="00030318" w:rsidRDefault="00030318" w:rsidP="00030318">
            <w:pPr>
              <w:pStyle w:val="TableParagraph"/>
              <w:spacing w:before="1" w:line="213" w:lineRule="exact"/>
              <w:rPr>
                <w:sz w:val="20"/>
              </w:rPr>
            </w:pPr>
            <w:r>
              <w:rPr>
                <w:sz w:val="20"/>
              </w:rPr>
              <w:t>AA</w:t>
            </w:r>
          </w:p>
        </w:tc>
        <w:tc>
          <w:tcPr>
            <w:tcW w:w="2520" w:type="dxa"/>
          </w:tcPr>
          <w:p w:rsidR="00030318" w:rsidRDefault="00030318" w:rsidP="00030318">
            <w:pPr>
              <w:pStyle w:val="TableParagraph"/>
              <w:ind w:left="0"/>
              <w:rPr>
                <w:rFonts w:ascii="Times New Roman"/>
                <w:sz w:val="18"/>
              </w:rPr>
            </w:pP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Performance:</w:t>
            </w:r>
          </w:p>
        </w:tc>
        <w:tc>
          <w:tcPr>
            <w:tcW w:w="2808" w:type="dxa"/>
          </w:tcPr>
          <w:p w:rsidR="00030318" w:rsidRDefault="00030318" w:rsidP="00030318">
            <w:pPr>
              <w:pStyle w:val="TableParagraph"/>
              <w:spacing w:line="210" w:lineRule="exact"/>
              <w:rPr>
                <w:sz w:val="20"/>
              </w:rPr>
            </w:pPr>
            <w:r>
              <w:rPr>
                <w:sz w:val="20"/>
              </w:rPr>
              <w:t>Return (p.a.)</w:t>
            </w:r>
          </w:p>
        </w:tc>
        <w:tc>
          <w:tcPr>
            <w:tcW w:w="2520" w:type="dxa"/>
          </w:tcPr>
          <w:p w:rsidR="00030318" w:rsidRDefault="00030318" w:rsidP="00030318">
            <w:pPr>
              <w:pStyle w:val="TableParagraph"/>
              <w:spacing w:line="210" w:lineRule="exact"/>
              <w:ind w:left="108"/>
              <w:rPr>
                <w:sz w:val="20"/>
              </w:rPr>
            </w:pPr>
            <w:r>
              <w:rPr>
                <w:sz w:val="20"/>
              </w:rPr>
              <w:t>Payout</w:t>
            </w:r>
          </w:p>
        </w:tc>
      </w:tr>
      <w:tr w:rsidR="00030318" w:rsidTr="00030318">
        <w:trPr>
          <w:trHeight w:val="231"/>
        </w:trPr>
        <w:tc>
          <w:tcPr>
            <w:tcW w:w="3454" w:type="dxa"/>
            <w:tcBorders>
              <w:bottom w:val="nil"/>
            </w:tcBorders>
          </w:tcPr>
          <w:p w:rsidR="00030318" w:rsidRDefault="00030318" w:rsidP="00030318">
            <w:pPr>
              <w:pStyle w:val="TableParagraph"/>
              <w:spacing w:line="211" w:lineRule="exact"/>
              <w:rPr>
                <w:sz w:val="20"/>
              </w:rPr>
            </w:pPr>
            <w:r>
              <w:rPr>
                <w:sz w:val="20"/>
              </w:rPr>
              <w:t>Year ended June 30 2017</w:t>
            </w:r>
          </w:p>
        </w:tc>
        <w:tc>
          <w:tcPr>
            <w:tcW w:w="2808" w:type="dxa"/>
            <w:tcBorders>
              <w:bottom w:val="nil"/>
            </w:tcBorders>
          </w:tcPr>
          <w:p w:rsidR="00030318" w:rsidRDefault="00030318" w:rsidP="00030318">
            <w:pPr>
              <w:pStyle w:val="TableParagraph"/>
              <w:spacing w:line="211" w:lineRule="exact"/>
              <w:rPr>
                <w:sz w:val="20"/>
              </w:rPr>
            </w:pPr>
            <w:r>
              <w:rPr>
                <w:sz w:val="20"/>
              </w:rPr>
              <w:t>5.41%</w:t>
            </w:r>
          </w:p>
        </w:tc>
        <w:tc>
          <w:tcPr>
            <w:tcW w:w="2520" w:type="dxa"/>
            <w:tcBorders>
              <w:bottom w:val="nil"/>
            </w:tcBorders>
          </w:tcPr>
          <w:p w:rsidR="00030318" w:rsidRDefault="00030318" w:rsidP="00030318">
            <w:pPr>
              <w:pStyle w:val="TableParagraph"/>
              <w:spacing w:line="211" w:lineRule="exact"/>
              <w:ind w:left="108"/>
              <w:rPr>
                <w:sz w:val="20"/>
              </w:rPr>
            </w:pPr>
            <w:r>
              <w:rPr>
                <w:sz w:val="20"/>
              </w:rPr>
              <w:t>Rs. 5.40 Per unit</w:t>
            </w:r>
          </w:p>
        </w:tc>
      </w:tr>
      <w:tr w:rsidR="00030318" w:rsidTr="00030318">
        <w:trPr>
          <w:trHeight w:val="230"/>
        </w:trPr>
        <w:tc>
          <w:tcPr>
            <w:tcW w:w="3454" w:type="dxa"/>
            <w:tcBorders>
              <w:top w:val="nil"/>
              <w:bottom w:val="nil"/>
            </w:tcBorders>
          </w:tcPr>
          <w:p w:rsidR="00030318" w:rsidRDefault="00030318" w:rsidP="00030318">
            <w:pPr>
              <w:pStyle w:val="TableParagraph"/>
              <w:spacing w:line="211" w:lineRule="exact"/>
              <w:rPr>
                <w:sz w:val="20"/>
              </w:rPr>
            </w:pPr>
            <w:r>
              <w:rPr>
                <w:sz w:val="20"/>
              </w:rPr>
              <w:t>Year ended June 30 2016</w:t>
            </w:r>
          </w:p>
        </w:tc>
        <w:tc>
          <w:tcPr>
            <w:tcW w:w="2808" w:type="dxa"/>
            <w:tcBorders>
              <w:top w:val="nil"/>
              <w:bottom w:val="nil"/>
            </w:tcBorders>
          </w:tcPr>
          <w:p w:rsidR="00030318" w:rsidRDefault="00030318" w:rsidP="00030318">
            <w:pPr>
              <w:pStyle w:val="TableParagraph"/>
              <w:spacing w:line="211" w:lineRule="exact"/>
              <w:rPr>
                <w:sz w:val="20"/>
              </w:rPr>
            </w:pPr>
            <w:r>
              <w:rPr>
                <w:sz w:val="20"/>
              </w:rPr>
              <w:t>5.16%</w:t>
            </w:r>
          </w:p>
        </w:tc>
        <w:tc>
          <w:tcPr>
            <w:tcW w:w="2520" w:type="dxa"/>
            <w:tcBorders>
              <w:top w:val="nil"/>
              <w:bottom w:val="nil"/>
            </w:tcBorders>
          </w:tcPr>
          <w:p w:rsidR="00030318" w:rsidRDefault="00030318" w:rsidP="00030318">
            <w:pPr>
              <w:pStyle w:val="TableParagraph"/>
              <w:spacing w:line="211" w:lineRule="exact"/>
              <w:ind w:left="108"/>
              <w:rPr>
                <w:sz w:val="20"/>
              </w:rPr>
            </w:pPr>
            <w:r>
              <w:rPr>
                <w:sz w:val="20"/>
              </w:rPr>
              <w:t>Rs. 5.10 Per unit</w:t>
            </w:r>
          </w:p>
        </w:tc>
      </w:tr>
      <w:tr w:rsidR="00030318" w:rsidTr="00030318">
        <w:trPr>
          <w:trHeight w:val="230"/>
        </w:trPr>
        <w:tc>
          <w:tcPr>
            <w:tcW w:w="3454" w:type="dxa"/>
            <w:tcBorders>
              <w:top w:val="nil"/>
              <w:bottom w:val="nil"/>
            </w:tcBorders>
          </w:tcPr>
          <w:p w:rsidR="00030318" w:rsidRDefault="00030318" w:rsidP="00030318">
            <w:pPr>
              <w:pStyle w:val="TableParagraph"/>
              <w:spacing w:line="210" w:lineRule="exact"/>
              <w:rPr>
                <w:sz w:val="20"/>
              </w:rPr>
            </w:pPr>
            <w:r>
              <w:rPr>
                <w:sz w:val="20"/>
              </w:rPr>
              <w:t>Year ended June 30 2015</w:t>
            </w:r>
          </w:p>
        </w:tc>
        <w:tc>
          <w:tcPr>
            <w:tcW w:w="2808" w:type="dxa"/>
            <w:tcBorders>
              <w:top w:val="nil"/>
              <w:bottom w:val="nil"/>
            </w:tcBorders>
          </w:tcPr>
          <w:p w:rsidR="00030318" w:rsidRDefault="00030318" w:rsidP="00030318">
            <w:pPr>
              <w:pStyle w:val="TableParagraph"/>
              <w:spacing w:line="210" w:lineRule="exact"/>
              <w:rPr>
                <w:sz w:val="20"/>
              </w:rPr>
            </w:pPr>
            <w:r>
              <w:rPr>
                <w:sz w:val="20"/>
              </w:rPr>
              <w:t>7.98%</w:t>
            </w:r>
          </w:p>
        </w:tc>
        <w:tc>
          <w:tcPr>
            <w:tcW w:w="2520" w:type="dxa"/>
            <w:tcBorders>
              <w:top w:val="nil"/>
              <w:bottom w:val="nil"/>
            </w:tcBorders>
          </w:tcPr>
          <w:p w:rsidR="00030318" w:rsidRDefault="00030318" w:rsidP="00030318">
            <w:pPr>
              <w:pStyle w:val="TableParagraph"/>
              <w:spacing w:line="210" w:lineRule="exact"/>
              <w:ind w:left="108"/>
              <w:rPr>
                <w:sz w:val="20"/>
              </w:rPr>
            </w:pPr>
            <w:r>
              <w:rPr>
                <w:sz w:val="20"/>
              </w:rPr>
              <w:t>Rs. 8.22 per unit</w:t>
            </w:r>
          </w:p>
        </w:tc>
      </w:tr>
      <w:tr w:rsidR="00030318" w:rsidTr="00030318">
        <w:trPr>
          <w:trHeight w:val="229"/>
        </w:trPr>
        <w:tc>
          <w:tcPr>
            <w:tcW w:w="3454" w:type="dxa"/>
            <w:tcBorders>
              <w:top w:val="nil"/>
              <w:bottom w:val="nil"/>
            </w:tcBorders>
          </w:tcPr>
          <w:p w:rsidR="00030318" w:rsidRDefault="00030318" w:rsidP="00030318">
            <w:pPr>
              <w:pStyle w:val="TableParagraph"/>
              <w:spacing w:line="209" w:lineRule="exact"/>
              <w:rPr>
                <w:sz w:val="20"/>
              </w:rPr>
            </w:pPr>
            <w:r>
              <w:rPr>
                <w:sz w:val="20"/>
              </w:rPr>
              <w:t>Year ended June 30 2014</w:t>
            </w:r>
          </w:p>
        </w:tc>
        <w:tc>
          <w:tcPr>
            <w:tcW w:w="2808" w:type="dxa"/>
            <w:tcBorders>
              <w:top w:val="nil"/>
              <w:bottom w:val="nil"/>
            </w:tcBorders>
          </w:tcPr>
          <w:p w:rsidR="00030318" w:rsidRDefault="00030318" w:rsidP="00030318">
            <w:pPr>
              <w:pStyle w:val="TableParagraph"/>
              <w:spacing w:line="209" w:lineRule="exact"/>
              <w:rPr>
                <w:sz w:val="20"/>
              </w:rPr>
            </w:pPr>
            <w:r>
              <w:rPr>
                <w:sz w:val="20"/>
              </w:rPr>
              <w:t>7.81%</w:t>
            </w:r>
          </w:p>
        </w:tc>
        <w:tc>
          <w:tcPr>
            <w:tcW w:w="2520" w:type="dxa"/>
            <w:tcBorders>
              <w:top w:val="nil"/>
              <w:bottom w:val="nil"/>
            </w:tcBorders>
          </w:tcPr>
          <w:p w:rsidR="00030318" w:rsidRDefault="00030318" w:rsidP="00030318">
            <w:pPr>
              <w:pStyle w:val="TableParagraph"/>
              <w:spacing w:line="209" w:lineRule="exact"/>
              <w:ind w:left="108"/>
              <w:rPr>
                <w:sz w:val="20"/>
              </w:rPr>
            </w:pPr>
            <w:r>
              <w:rPr>
                <w:sz w:val="20"/>
              </w:rPr>
              <w:t>Rs. 7.30 per unit</w:t>
            </w:r>
          </w:p>
        </w:tc>
      </w:tr>
      <w:tr w:rsidR="00030318" w:rsidTr="00030318">
        <w:trPr>
          <w:trHeight w:val="229"/>
        </w:trPr>
        <w:tc>
          <w:tcPr>
            <w:tcW w:w="3454" w:type="dxa"/>
            <w:tcBorders>
              <w:top w:val="nil"/>
              <w:bottom w:val="nil"/>
            </w:tcBorders>
          </w:tcPr>
          <w:p w:rsidR="00030318" w:rsidRDefault="00030318" w:rsidP="00030318">
            <w:pPr>
              <w:pStyle w:val="TableParagraph"/>
              <w:spacing w:line="209" w:lineRule="exact"/>
              <w:rPr>
                <w:sz w:val="20"/>
              </w:rPr>
            </w:pPr>
            <w:r>
              <w:rPr>
                <w:sz w:val="20"/>
              </w:rPr>
              <w:t>Year ended 30 June 2013</w:t>
            </w:r>
          </w:p>
        </w:tc>
        <w:tc>
          <w:tcPr>
            <w:tcW w:w="2808" w:type="dxa"/>
            <w:tcBorders>
              <w:top w:val="nil"/>
              <w:bottom w:val="nil"/>
            </w:tcBorders>
          </w:tcPr>
          <w:p w:rsidR="00030318" w:rsidRDefault="00030318" w:rsidP="00030318">
            <w:pPr>
              <w:pStyle w:val="TableParagraph"/>
              <w:spacing w:line="209" w:lineRule="exact"/>
              <w:rPr>
                <w:sz w:val="20"/>
              </w:rPr>
            </w:pPr>
            <w:r>
              <w:rPr>
                <w:sz w:val="20"/>
              </w:rPr>
              <w:t>9.31%</w:t>
            </w:r>
          </w:p>
        </w:tc>
        <w:tc>
          <w:tcPr>
            <w:tcW w:w="2520" w:type="dxa"/>
            <w:tcBorders>
              <w:top w:val="nil"/>
              <w:bottom w:val="nil"/>
            </w:tcBorders>
          </w:tcPr>
          <w:p w:rsidR="00030318" w:rsidRDefault="00030318" w:rsidP="00030318">
            <w:pPr>
              <w:pStyle w:val="TableParagraph"/>
              <w:spacing w:line="209" w:lineRule="exact"/>
              <w:ind w:left="108"/>
              <w:rPr>
                <w:sz w:val="20"/>
              </w:rPr>
            </w:pPr>
            <w:r>
              <w:rPr>
                <w:sz w:val="20"/>
              </w:rPr>
              <w:t>Rs. 9.06 per unit</w:t>
            </w:r>
          </w:p>
        </w:tc>
      </w:tr>
      <w:tr w:rsidR="00030318" w:rsidTr="00030318">
        <w:trPr>
          <w:trHeight w:val="229"/>
        </w:trPr>
        <w:tc>
          <w:tcPr>
            <w:tcW w:w="3454" w:type="dxa"/>
            <w:tcBorders>
              <w:top w:val="nil"/>
            </w:tcBorders>
          </w:tcPr>
          <w:p w:rsidR="00030318" w:rsidRDefault="00030318" w:rsidP="00030318">
            <w:pPr>
              <w:pStyle w:val="TableParagraph"/>
              <w:spacing w:line="210" w:lineRule="exact"/>
              <w:rPr>
                <w:sz w:val="20"/>
              </w:rPr>
            </w:pPr>
            <w:r>
              <w:rPr>
                <w:sz w:val="20"/>
              </w:rPr>
              <w:t>Year ended 30 June 2012</w:t>
            </w:r>
          </w:p>
        </w:tc>
        <w:tc>
          <w:tcPr>
            <w:tcW w:w="2808" w:type="dxa"/>
            <w:tcBorders>
              <w:top w:val="nil"/>
            </w:tcBorders>
          </w:tcPr>
          <w:p w:rsidR="00030318" w:rsidRDefault="00030318" w:rsidP="00030318">
            <w:pPr>
              <w:pStyle w:val="TableParagraph"/>
              <w:spacing w:line="210" w:lineRule="exact"/>
              <w:rPr>
                <w:sz w:val="20"/>
              </w:rPr>
            </w:pPr>
            <w:r>
              <w:rPr>
                <w:sz w:val="20"/>
              </w:rPr>
              <w:t>12.05%</w:t>
            </w:r>
          </w:p>
        </w:tc>
        <w:tc>
          <w:tcPr>
            <w:tcW w:w="2520" w:type="dxa"/>
            <w:tcBorders>
              <w:top w:val="nil"/>
            </w:tcBorders>
          </w:tcPr>
          <w:p w:rsidR="00030318" w:rsidRDefault="00030318" w:rsidP="00030318">
            <w:pPr>
              <w:pStyle w:val="TableParagraph"/>
              <w:spacing w:line="210" w:lineRule="exact"/>
              <w:ind w:left="108"/>
              <w:rPr>
                <w:sz w:val="20"/>
              </w:rPr>
            </w:pPr>
            <w:r>
              <w:rPr>
                <w:sz w:val="20"/>
              </w:rPr>
              <w:t>Rs. 2.90 per unit</w:t>
            </w:r>
          </w:p>
        </w:tc>
      </w:tr>
      <w:tr w:rsidR="00030318" w:rsidTr="00030318">
        <w:trPr>
          <w:trHeight w:val="230"/>
        </w:trPr>
        <w:tc>
          <w:tcPr>
            <w:tcW w:w="3454" w:type="dxa"/>
          </w:tcPr>
          <w:p w:rsidR="00030318" w:rsidRDefault="00030318" w:rsidP="00030318">
            <w:pPr>
              <w:pStyle w:val="TableParagraph"/>
              <w:spacing w:line="210" w:lineRule="exact"/>
              <w:rPr>
                <w:sz w:val="20"/>
              </w:rPr>
            </w:pPr>
            <w:r>
              <w:rPr>
                <w:sz w:val="20"/>
              </w:rPr>
              <w:t>Year ended 30 June 2011</w:t>
            </w:r>
          </w:p>
        </w:tc>
        <w:tc>
          <w:tcPr>
            <w:tcW w:w="2808" w:type="dxa"/>
          </w:tcPr>
          <w:p w:rsidR="00030318" w:rsidRDefault="00030318" w:rsidP="00030318">
            <w:pPr>
              <w:pStyle w:val="TableParagraph"/>
              <w:spacing w:line="210" w:lineRule="exact"/>
              <w:rPr>
                <w:sz w:val="20"/>
              </w:rPr>
            </w:pPr>
            <w:r>
              <w:rPr>
                <w:sz w:val="20"/>
              </w:rPr>
              <w:t>12.05%</w:t>
            </w:r>
          </w:p>
        </w:tc>
        <w:tc>
          <w:tcPr>
            <w:tcW w:w="2520" w:type="dxa"/>
          </w:tcPr>
          <w:p w:rsidR="00030318" w:rsidRDefault="00030318" w:rsidP="00030318">
            <w:pPr>
              <w:pStyle w:val="TableParagraph"/>
              <w:spacing w:line="210" w:lineRule="exact"/>
              <w:ind w:left="108"/>
              <w:rPr>
                <w:sz w:val="20"/>
              </w:rPr>
            </w:pPr>
            <w:r>
              <w:rPr>
                <w:sz w:val="20"/>
              </w:rPr>
              <w:t>Rs. 8.30 per unit</w:t>
            </w:r>
          </w:p>
        </w:tc>
      </w:tr>
    </w:tbl>
    <w:p w:rsidR="00030318" w:rsidRDefault="00030318" w:rsidP="00030318">
      <w:pPr>
        <w:pStyle w:val="BodyText"/>
        <w:rPr>
          <w:sz w:val="22"/>
        </w:rPr>
      </w:pPr>
    </w:p>
    <w:p w:rsidR="00030318" w:rsidRDefault="00030318" w:rsidP="00030318">
      <w:pPr>
        <w:pStyle w:val="BodyText"/>
        <w:spacing w:before="7"/>
        <w:rPr>
          <w:sz w:val="17"/>
        </w:rPr>
      </w:pPr>
    </w:p>
    <w:p w:rsidR="00030318" w:rsidRDefault="00030318" w:rsidP="00030318">
      <w:pPr>
        <w:pStyle w:val="Heading5"/>
        <w:ind w:left="621"/>
      </w:pPr>
      <w:r>
        <w:t>AL-AMEEN ISLAMIC SOVEREIGN FUND (AISF)</w:t>
      </w:r>
    </w:p>
    <w:p w:rsidR="00030318" w:rsidRDefault="00030318" w:rsidP="00030318">
      <w:pPr>
        <w:ind w:left="621"/>
        <w:rPr>
          <w:b/>
          <w:sz w:val="20"/>
        </w:rPr>
      </w:pPr>
      <w:r>
        <w:rPr>
          <w:b/>
          <w:sz w:val="20"/>
        </w:rPr>
        <w:t>(Formerly UBL Islamic Sovereign Fund)</w:t>
      </w:r>
    </w:p>
    <w:p w:rsidR="00030318" w:rsidRDefault="00030318" w:rsidP="00030318">
      <w:pPr>
        <w:pStyle w:val="BodyText"/>
        <w:spacing w:before="3"/>
        <w:rPr>
          <w:b/>
        </w:rPr>
      </w:pPr>
    </w:p>
    <w:p w:rsidR="00030318" w:rsidRDefault="00030318" w:rsidP="00030318">
      <w:pPr>
        <w:pStyle w:val="BodyText"/>
        <w:ind w:left="621" w:right="904"/>
        <w:jc w:val="both"/>
      </w:pPr>
      <w:r>
        <w:t>AISF is an open</w:t>
      </w:r>
      <w:r>
        <w:rPr>
          <w:rFonts w:ascii="Cambria Math" w:hAnsi="Cambria Math"/>
        </w:rPr>
        <w:t>‐</w:t>
      </w:r>
      <w:r>
        <w:t>end Shariah Compliant Income Fund which aims to provide a competitive return with a moderate level of risk to its investors by investing in Shariah</w:t>
      </w:r>
      <w:r>
        <w:rPr>
          <w:rFonts w:ascii="Cambria Math" w:hAnsi="Cambria Math"/>
        </w:rPr>
        <w:t>‐</w:t>
      </w:r>
      <w:r>
        <w:t xml:space="preserve">compliant government securities and other shariah compliant fixed income securities / instruments. The Fund invests in both Government- issued and private Islamic debt securities including </w:t>
      </w:r>
      <w:proofErr w:type="spellStart"/>
      <w:r>
        <w:t>Ijarah</w:t>
      </w:r>
      <w:proofErr w:type="spellEnd"/>
      <w:r>
        <w:t>/</w:t>
      </w:r>
      <w:proofErr w:type="spellStart"/>
      <w:r>
        <w:t>Sukuks</w:t>
      </w:r>
      <w:proofErr w:type="spellEnd"/>
      <w:r>
        <w:t>, with the remainder in placements with Islamic banks, and licensed Islamic windows of conventional banks, The fund operates under the expert guidance of a renowned Shariah Advisory Board which includes Mr. Hassan Kaleem and Mr. Najeeb Khan.</w:t>
      </w:r>
    </w:p>
    <w:p w:rsidR="00030318" w:rsidRDefault="00030318" w:rsidP="00030318">
      <w:pPr>
        <w:pStyle w:val="BodyText"/>
      </w:pPr>
    </w:p>
    <w:p w:rsidR="00030318" w:rsidRDefault="00030318" w:rsidP="00030318">
      <w:pPr>
        <w:pStyle w:val="BodyText"/>
        <w:spacing w:before="10"/>
        <w:rPr>
          <w:sz w:val="10"/>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2809"/>
        <w:gridCol w:w="2521"/>
      </w:tblGrid>
      <w:tr w:rsidR="00030318" w:rsidTr="00030318">
        <w:trPr>
          <w:trHeight w:val="230"/>
        </w:trPr>
        <w:tc>
          <w:tcPr>
            <w:tcW w:w="3404" w:type="dxa"/>
          </w:tcPr>
          <w:p w:rsidR="00030318" w:rsidRDefault="00030318" w:rsidP="00030318">
            <w:pPr>
              <w:pStyle w:val="TableParagraph"/>
              <w:spacing w:line="210" w:lineRule="exact"/>
              <w:rPr>
                <w:sz w:val="20"/>
              </w:rPr>
            </w:pPr>
            <w:r>
              <w:rPr>
                <w:sz w:val="20"/>
              </w:rPr>
              <w:t>Date of launching</w:t>
            </w:r>
          </w:p>
        </w:tc>
        <w:tc>
          <w:tcPr>
            <w:tcW w:w="2809" w:type="dxa"/>
          </w:tcPr>
          <w:p w:rsidR="00030318" w:rsidRDefault="00030318" w:rsidP="00030318">
            <w:pPr>
              <w:pStyle w:val="TableParagraph"/>
              <w:spacing w:line="210" w:lineRule="exact"/>
              <w:ind w:left="105"/>
              <w:rPr>
                <w:sz w:val="20"/>
              </w:rPr>
            </w:pPr>
            <w:r>
              <w:rPr>
                <w:sz w:val="20"/>
              </w:rPr>
              <w:t>7 November 2010</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404" w:type="dxa"/>
          </w:tcPr>
          <w:p w:rsidR="00030318" w:rsidRDefault="00030318" w:rsidP="00030318">
            <w:pPr>
              <w:pStyle w:val="TableParagraph"/>
              <w:spacing w:line="210" w:lineRule="exact"/>
              <w:rPr>
                <w:sz w:val="20"/>
              </w:rPr>
            </w:pPr>
            <w:r>
              <w:rPr>
                <w:sz w:val="20"/>
              </w:rPr>
              <w:t>Par Value of units</w:t>
            </w:r>
          </w:p>
        </w:tc>
        <w:tc>
          <w:tcPr>
            <w:tcW w:w="2809" w:type="dxa"/>
          </w:tcPr>
          <w:p w:rsidR="00030318" w:rsidRDefault="00030318" w:rsidP="00030318">
            <w:pPr>
              <w:pStyle w:val="TableParagraph"/>
              <w:spacing w:line="210" w:lineRule="exact"/>
              <w:ind w:left="105"/>
              <w:rPr>
                <w:sz w:val="20"/>
              </w:rPr>
            </w:pPr>
            <w:r>
              <w:rPr>
                <w:sz w:val="20"/>
              </w:rPr>
              <w:t>Rs. 100</w:t>
            </w:r>
          </w:p>
        </w:tc>
        <w:tc>
          <w:tcPr>
            <w:tcW w:w="2521" w:type="dxa"/>
          </w:tcPr>
          <w:p w:rsidR="00030318" w:rsidRDefault="00030318" w:rsidP="00030318">
            <w:pPr>
              <w:pStyle w:val="TableParagraph"/>
              <w:ind w:left="0"/>
              <w:rPr>
                <w:rFonts w:ascii="Times New Roman"/>
                <w:sz w:val="16"/>
              </w:rPr>
            </w:pPr>
          </w:p>
        </w:tc>
      </w:tr>
    </w:tbl>
    <w:p w:rsidR="00030318" w:rsidRDefault="00030318" w:rsidP="00030318">
      <w:pPr>
        <w:pStyle w:val="BodyText"/>
        <w:spacing w:before="2"/>
        <w:rPr>
          <w:sz w:val="14"/>
        </w:rPr>
      </w:pPr>
    </w:p>
    <w:tbl>
      <w:tblPr>
        <w:tblW w:w="0" w:type="auto"/>
        <w:tblInd w:w="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4"/>
        <w:gridCol w:w="2809"/>
        <w:gridCol w:w="2521"/>
        <w:gridCol w:w="1049"/>
      </w:tblGrid>
      <w:tr w:rsidR="00030318" w:rsidTr="00030318">
        <w:trPr>
          <w:trHeight w:val="228"/>
        </w:trPr>
        <w:tc>
          <w:tcPr>
            <w:tcW w:w="3404" w:type="dxa"/>
            <w:tcBorders>
              <w:left w:val="single" w:sz="4" w:space="0" w:color="000000"/>
              <w:bottom w:val="nil"/>
              <w:right w:val="single" w:sz="4" w:space="0" w:color="000000"/>
            </w:tcBorders>
          </w:tcPr>
          <w:p w:rsidR="00030318" w:rsidRDefault="00030318" w:rsidP="00030318">
            <w:pPr>
              <w:pStyle w:val="TableParagraph"/>
              <w:spacing w:line="208" w:lineRule="exact"/>
              <w:rPr>
                <w:sz w:val="20"/>
              </w:rPr>
            </w:pPr>
            <w:r w:rsidRPr="00E65CA8">
              <w:rPr>
                <w:sz w:val="20"/>
              </w:rPr>
              <w:t>Net Assets (as at Feb 19 2019)</w:t>
            </w:r>
          </w:p>
        </w:tc>
        <w:tc>
          <w:tcPr>
            <w:tcW w:w="2809" w:type="dxa"/>
            <w:tcBorders>
              <w:left w:val="single" w:sz="4" w:space="0" w:color="000000"/>
              <w:bottom w:val="nil"/>
              <w:right w:val="single" w:sz="4" w:space="0" w:color="000000"/>
            </w:tcBorders>
          </w:tcPr>
          <w:p w:rsidR="00030318" w:rsidRDefault="00030318" w:rsidP="00030318">
            <w:pPr>
              <w:pStyle w:val="TableParagraph"/>
              <w:spacing w:line="208" w:lineRule="exact"/>
              <w:ind w:left="105"/>
              <w:rPr>
                <w:sz w:val="20"/>
              </w:rPr>
            </w:pPr>
            <w:r>
              <w:rPr>
                <w:sz w:val="20"/>
              </w:rPr>
              <w:t>Rs. 7,630 Million</w:t>
            </w:r>
          </w:p>
        </w:tc>
        <w:tc>
          <w:tcPr>
            <w:tcW w:w="2521"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tcBorders>
              <w:top w:val="single" w:sz="4" w:space="0" w:color="000000"/>
              <w:left w:val="single" w:sz="4" w:space="0" w:color="000000"/>
              <w:bottom w:val="nil"/>
              <w:right w:val="nil"/>
            </w:tcBorders>
          </w:tcPr>
          <w:p w:rsidR="00030318" w:rsidRDefault="00030318" w:rsidP="00030318">
            <w:pPr>
              <w:pStyle w:val="TableParagraph"/>
              <w:ind w:left="0"/>
              <w:rPr>
                <w:rFonts w:ascii="Times New Roman"/>
                <w:sz w:val="18"/>
              </w:rPr>
            </w:pPr>
          </w:p>
        </w:tc>
      </w:tr>
      <w:tr w:rsidR="00030318" w:rsidTr="00030318">
        <w:trPr>
          <w:trHeight w:val="228"/>
        </w:trPr>
        <w:tc>
          <w:tcPr>
            <w:tcW w:w="3404" w:type="dxa"/>
            <w:tcBorders>
              <w:left w:val="single" w:sz="4" w:space="0" w:color="000000"/>
              <w:bottom w:val="nil"/>
              <w:right w:val="single" w:sz="4" w:space="0" w:color="000000"/>
            </w:tcBorders>
          </w:tcPr>
          <w:p w:rsidR="00030318" w:rsidRDefault="00030318" w:rsidP="00030318">
            <w:pPr>
              <w:pStyle w:val="TableParagraph"/>
              <w:spacing w:line="208" w:lineRule="exact"/>
              <w:rPr>
                <w:sz w:val="20"/>
              </w:rPr>
            </w:pPr>
            <w:r>
              <w:rPr>
                <w:sz w:val="20"/>
              </w:rPr>
              <w:t>Net Assets (as at June 30 2018)</w:t>
            </w:r>
          </w:p>
        </w:tc>
        <w:tc>
          <w:tcPr>
            <w:tcW w:w="2809" w:type="dxa"/>
            <w:tcBorders>
              <w:left w:val="single" w:sz="4" w:space="0" w:color="000000"/>
              <w:bottom w:val="nil"/>
              <w:right w:val="single" w:sz="4" w:space="0" w:color="000000"/>
            </w:tcBorders>
          </w:tcPr>
          <w:p w:rsidR="00030318" w:rsidRDefault="00030318" w:rsidP="00030318">
            <w:pPr>
              <w:pStyle w:val="TableParagraph"/>
              <w:spacing w:line="208" w:lineRule="exact"/>
              <w:ind w:left="105"/>
              <w:rPr>
                <w:sz w:val="20"/>
              </w:rPr>
            </w:pPr>
            <w:r>
              <w:rPr>
                <w:sz w:val="20"/>
              </w:rPr>
              <w:t>Rs. 4.9 Bn</w:t>
            </w:r>
          </w:p>
        </w:tc>
        <w:tc>
          <w:tcPr>
            <w:tcW w:w="2521"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tcBorders>
              <w:top w:val="single" w:sz="4" w:space="0" w:color="000000"/>
              <w:left w:val="single" w:sz="4" w:space="0" w:color="000000"/>
              <w:bottom w:val="nil"/>
              <w:right w:val="nil"/>
            </w:tcBorders>
          </w:tcPr>
          <w:p w:rsidR="00030318" w:rsidRDefault="00030318" w:rsidP="00030318">
            <w:pPr>
              <w:pStyle w:val="TableParagraph"/>
              <w:ind w:left="0"/>
              <w:rPr>
                <w:rFonts w:ascii="Times New Roman"/>
                <w:sz w:val="18"/>
              </w:rPr>
            </w:pPr>
          </w:p>
        </w:tc>
      </w:tr>
      <w:tr w:rsidR="00030318" w:rsidTr="00030318">
        <w:trPr>
          <w:trHeight w:val="228"/>
        </w:trPr>
        <w:tc>
          <w:tcPr>
            <w:tcW w:w="3404" w:type="dxa"/>
            <w:tcBorders>
              <w:left w:val="single" w:sz="4" w:space="0" w:color="000000"/>
              <w:bottom w:val="nil"/>
              <w:right w:val="single" w:sz="4" w:space="0" w:color="000000"/>
            </w:tcBorders>
          </w:tcPr>
          <w:p w:rsidR="00030318" w:rsidRDefault="00030318" w:rsidP="00030318">
            <w:pPr>
              <w:pStyle w:val="TableParagraph"/>
              <w:spacing w:line="208" w:lineRule="exact"/>
              <w:rPr>
                <w:sz w:val="20"/>
              </w:rPr>
            </w:pPr>
            <w:r>
              <w:rPr>
                <w:sz w:val="20"/>
              </w:rPr>
              <w:t>Net Assets (as at June 30 2017)</w:t>
            </w:r>
          </w:p>
        </w:tc>
        <w:tc>
          <w:tcPr>
            <w:tcW w:w="2809" w:type="dxa"/>
            <w:tcBorders>
              <w:left w:val="single" w:sz="4" w:space="0" w:color="000000"/>
              <w:bottom w:val="nil"/>
              <w:right w:val="single" w:sz="4" w:space="0" w:color="000000"/>
            </w:tcBorders>
          </w:tcPr>
          <w:p w:rsidR="00030318" w:rsidRDefault="00030318" w:rsidP="00030318">
            <w:pPr>
              <w:pStyle w:val="TableParagraph"/>
              <w:spacing w:line="208" w:lineRule="exact"/>
              <w:ind w:left="105"/>
              <w:rPr>
                <w:sz w:val="20"/>
              </w:rPr>
            </w:pPr>
            <w:r>
              <w:rPr>
                <w:sz w:val="20"/>
              </w:rPr>
              <w:t>Rs. 7,746 Million</w:t>
            </w:r>
          </w:p>
        </w:tc>
        <w:tc>
          <w:tcPr>
            <w:tcW w:w="2521" w:type="dxa"/>
            <w:vMerge w:val="restart"/>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vMerge w:val="restart"/>
            <w:tcBorders>
              <w:top w:val="single" w:sz="4" w:space="0" w:color="000000"/>
              <w:left w:val="single" w:sz="4" w:space="0" w:color="000000"/>
              <w:bottom w:val="nil"/>
              <w:right w:val="nil"/>
            </w:tcBorders>
          </w:tcPr>
          <w:p w:rsidR="00030318" w:rsidRDefault="00030318" w:rsidP="00030318">
            <w:pPr>
              <w:pStyle w:val="TableParagraph"/>
              <w:ind w:left="0"/>
              <w:rPr>
                <w:rFonts w:ascii="Times New Roman"/>
                <w:sz w:val="18"/>
              </w:rPr>
            </w:pPr>
          </w:p>
        </w:tc>
      </w:tr>
      <w:tr w:rsidR="00030318" w:rsidTr="00030318">
        <w:trPr>
          <w:trHeight w:val="22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1" w:lineRule="exact"/>
              <w:rPr>
                <w:sz w:val="20"/>
              </w:rPr>
            </w:pPr>
            <w:r>
              <w:rPr>
                <w:sz w:val="20"/>
              </w:rPr>
              <w:t>Net Assets (as at June 30 2016)</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01" w:lineRule="exact"/>
              <w:ind w:left="105"/>
              <w:rPr>
                <w:sz w:val="20"/>
              </w:rPr>
            </w:pPr>
            <w:r>
              <w:rPr>
                <w:sz w:val="20"/>
              </w:rPr>
              <w:t>Rs. 2,723 Million</w:t>
            </w: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1" w:lineRule="exact"/>
              <w:rPr>
                <w:sz w:val="20"/>
              </w:rPr>
            </w:pPr>
            <w:r>
              <w:rPr>
                <w:sz w:val="20"/>
              </w:rPr>
              <w:t>Net Assets (as at June 30 2015)</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01" w:lineRule="exact"/>
              <w:ind w:left="105"/>
              <w:rPr>
                <w:sz w:val="20"/>
              </w:rPr>
            </w:pPr>
            <w:r>
              <w:rPr>
                <w:sz w:val="20"/>
              </w:rPr>
              <w:t>Rs. 1,504 Million</w:t>
            </w: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19"/>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Net Assets (as at June 30 2014)</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199" w:lineRule="exact"/>
              <w:ind w:left="105"/>
              <w:rPr>
                <w:sz w:val="20"/>
              </w:rPr>
            </w:pPr>
            <w:r>
              <w:rPr>
                <w:sz w:val="20"/>
              </w:rPr>
              <w:t>Rs. 3,631 Million</w:t>
            </w: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19"/>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Net Assets (as at 30 June 2013)</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199" w:lineRule="exact"/>
              <w:ind w:left="105"/>
              <w:rPr>
                <w:sz w:val="20"/>
              </w:rPr>
            </w:pPr>
            <w:r>
              <w:rPr>
                <w:sz w:val="20"/>
              </w:rPr>
              <w:t>Rs. 4,119 Million</w:t>
            </w: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Net Assets (as at 30 June 2012)</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00" w:lineRule="exact"/>
              <w:ind w:left="105"/>
              <w:rPr>
                <w:sz w:val="20"/>
              </w:rPr>
            </w:pPr>
            <w:r>
              <w:rPr>
                <w:sz w:val="20"/>
              </w:rPr>
              <w:t>Rs. 5,555 Million</w:t>
            </w: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4"/>
        </w:trPr>
        <w:tc>
          <w:tcPr>
            <w:tcW w:w="3404"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05" w:lineRule="exact"/>
              <w:rPr>
                <w:sz w:val="20"/>
              </w:rPr>
            </w:pPr>
            <w:r>
              <w:rPr>
                <w:sz w:val="20"/>
              </w:rPr>
              <w:t>Net Assets (as at 30 June 2011)</w:t>
            </w:r>
          </w:p>
        </w:tc>
        <w:tc>
          <w:tcPr>
            <w:tcW w:w="2809"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05" w:lineRule="exact"/>
              <w:ind w:left="105"/>
              <w:rPr>
                <w:sz w:val="20"/>
              </w:rPr>
            </w:pPr>
            <w:r>
              <w:rPr>
                <w:sz w:val="20"/>
              </w:rPr>
              <w:t>Rs. 2,185 Million</w:t>
            </w: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5"/>
        </w:trPr>
        <w:tc>
          <w:tcPr>
            <w:tcW w:w="3404" w:type="dxa"/>
            <w:tcBorders>
              <w:top w:val="single" w:sz="4" w:space="0" w:color="000000"/>
              <w:left w:val="single" w:sz="4" w:space="0" w:color="000000"/>
              <w:bottom w:val="nil"/>
              <w:right w:val="single" w:sz="4" w:space="0" w:color="000000"/>
            </w:tcBorders>
          </w:tcPr>
          <w:p w:rsidR="00030318" w:rsidRDefault="00030318" w:rsidP="00030318">
            <w:pPr>
              <w:pStyle w:val="TableParagraph"/>
              <w:spacing w:line="206" w:lineRule="exact"/>
              <w:rPr>
                <w:sz w:val="20"/>
              </w:rPr>
            </w:pPr>
            <w:r w:rsidRPr="00E65CA8">
              <w:rPr>
                <w:sz w:val="20"/>
              </w:rPr>
              <w:t>NAV (as at Feb 19, 2019)</w:t>
            </w:r>
          </w:p>
        </w:tc>
        <w:tc>
          <w:tcPr>
            <w:tcW w:w="280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5"/>
              <w:rPr>
                <w:sz w:val="20"/>
              </w:rPr>
            </w:pPr>
            <w:r>
              <w:rPr>
                <w:sz w:val="20"/>
              </w:rPr>
              <w:t>Rs. 104.2467</w:t>
            </w:r>
          </w:p>
        </w:tc>
        <w:tc>
          <w:tcPr>
            <w:tcW w:w="2521"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5"/>
        </w:trPr>
        <w:tc>
          <w:tcPr>
            <w:tcW w:w="3404" w:type="dxa"/>
            <w:tcBorders>
              <w:top w:val="single" w:sz="4" w:space="0" w:color="000000"/>
              <w:left w:val="single" w:sz="4" w:space="0" w:color="000000"/>
              <w:bottom w:val="nil"/>
              <w:right w:val="single" w:sz="4" w:space="0" w:color="000000"/>
            </w:tcBorders>
          </w:tcPr>
          <w:p w:rsidR="00030318" w:rsidRDefault="00030318" w:rsidP="00030318">
            <w:pPr>
              <w:pStyle w:val="TableParagraph"/>
              <w:spacing w:line="206" w:lineRule="exact"/>
              <w:rPr>
                <w:sz w:val="20"/>
              </w:rPr>
            </w:pPr>
            <w:r>
              <w:rPr>
                <w:sz w:val="20"/>
              </w:rPr>
              <w:t>NAV (as at June 30 2017)</w:t>
            </w:r>
          </w:p>
        </w:tc>
        <w:tc>
          <w:tcPr>
            <w:tcW w:w="2809" w:type="dxa"/>
            <w:vMerge w:val="restart"/>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5"/>
              <w:rPr>
                <w:sz w:val="20"/>
              </w:rPr>
            </w:pPr>
            <w:r>
              <w:rPr>
                <w:sz w:val="20"/>
              </w:rPr>
              <w:t>100.8615101.0818</w:t>
            </w:r>
          </w:p>
          <w:p w:rsidR="00030318" w:rsidRDefault="00030318" w:rsidP="00030318">
            <w:pPr>
              <w:pStyle w:val="TableParagraph"/>
              <w:ind w:left="105"/>
              <w:rPr>
                <w:sz w:val="20"/>
              </w:rPr>
            </w:pPr>
            <w:r>
              <w:rPr>
                <w:sz w:val="20"/>
              </w:rPr>
              <w:t>100.698</w:t>
            </w:r>
          </w:p>
          <w:p w:rsidR="00030318" w:rsidRDefault="00030318" w:rsidP="00030318">
            <w:pPr>
              <w:pStyle w:val="TableParagraph"/>
              <w:spacing w:before="1" w:line="229" w:lineRule="exact"/>
              <w:ind w:left="105"/>
              <w:rPr>
                <w:sz w:val="20"/>
              </w:rPr>
            </w:pPr>
            <w:r>
              <w:rPr>
                <w:sz w:val="20"/>
              </w:rPr>
              <w:t>101.2966</w:t>
            </w:r>
          </w:p>
          <w:p w:rsidR="00030318" w:rsidRDefault="00030318" w:rsidP="00030318">
            <w:pPr>
              <w:pStyle w:val="TableParagraph"/>
              <w:spacing w:line="229" w:lineRule="exact"/>
              <w:ind w:left="105"/>
              <w:rPr>
                <w:sz w:val="20"/>
              </w:rPr>
            </w:pPr>
            <w:r>
              <w:rPr>
                <w:sz w:val="20"/>
              </w:rPr>
              <w:t>100.1319</w:t>
            </w:r>
          </w:p>
          <w:p w:rsidR="00030318" w:rsidRDefault="00030318" w:rsidP="00030318">
            <w:pPr>
              <w:pStyle w:val="TableParagraph"/>
              <w:ind w:left="105"/>
              <w:rPr>
                <w:sz w:val="20"/>
              </w:rPr>
            </w:pPr>
            <w:r>
              <w:rPr>
                <w:sz w:val="20"/>
              </w:rPr>
              <w:t>100.2765</w:t>
            </w:r>
          </w:p>
          <w:p w:rsidR="00030318" w:rsidRDefault="00030318" w:rsidP="00030318">
            <w:pPr>
              <w:pStyle w:val="TableParagraph"/>
              <w:spacing w:before="1"/>
              <w:ind w:left="105"/>
              <w:rPr>
                <w:sz w:val="20"/>
              </w:rPr>
            </w:pPr>
            <w:r>
              <w:rPr>
                <w:sz w:val="20"/>
              </w:rPr>
              <w:t>100.1635</w:t>
            </w:r>
          </w:p>
        </w:tc>
        <w:tc>
          <w:tcPr>
            <w:tcW w:w="2521" w:type="dxa"/>
            <w:vMerge w:val="restart"/>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NAV (as at June 30 2016)</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NAV (as at June 30 2015)</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19"/>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NAV (as at June 30 2014)</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19"/>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NAV (as at 30 June 2013)</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NAV (as at 30 June 2012)</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4"/>
        </w:trPr>
        <w:tc>
          <w:tcPr>
            <w:tcW w:w="3404"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05" w:lineRule="exact"/>
              <w:rPr>
                <w:sz w:val="20"/>
              </w:rPr>
            </w:pPr>
            <w:r>
              <w:rPr>
                <w:sz w:val="20"/>
              </w:rPr>
              <w:t>NAV (as at 30 June 2011)</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309"/>
        </w:trPr>
        <w:tc>
          <w:tcPr>
            <w:tcW w:w="3404"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38"/>
              <w:rPr>
                <w:sz w:val="20"/>
              </w:rPr>
            </w:pPr>
            <w:r>
              <w:rPr>
                <w:sz w:val="20"/>
              </w:rPr>
              <w:t>Listing</w:t>
            </w:r>
          </w:p>
        </w:tc>
        <w:tc>
          <w:tcPr>
            <w:tcW w:w="280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38"/>
              <w:ind w:left="105"/>
              <w:rPr>
                <w:sz w:val="20"/>
              </w:rPr>
            </w:pPr>
            <w:r>
              <w:rPr>
                <w:sz w:val="20"/>
              </w:rPr>
              <w:t>Pakistan Stock Exchange</w:t>
            </w:r>
          </w:p>
        </w:tc>
        <w:tc>
          <w:tcPr>
            <w:tcW w:w="2521"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460"/>
        </w:trPr>
        <w:tc>
          <w:tcPr>
            <w:tcW w:w="3404"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rPr>
                <w:b/>
                <w:sz w:val="20"/>
              </w:rPr>
            </w:pPr>
            <w:r>
              <w:rPr>
                <w:b/>
                <w:sz w:val="20"/>
              </w:rPr>
              <w:t>Fund Rating:</w:t>
            </w:r>
          </w:p>
          <w:p w:rsidR="00030318" w:rsidRDefault="00030318" w:rsidP="00030318">
            <w:pPr>
              <w:pStyle w:val="TableParagraph"/>
              <w:spacing w:line="215" w:lineRule="exact"/>
              <w:rPr>
                <w:b/>
                <w:sz w:val="20"/>
              </w:rPr>
            </w:pPr>
            <w:r>
              <w:rPr>
                <w:b/>
                <w:sz w:val="20"/>
              </w:rPr>
              <w:t>(Credit Rating Agency: JCR-VIS)</w:t>
            </w:r>
          </w:p>
        </w:tc>
        <w:tc>
          <w:tcPr>
            <w:tcW w:w="280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5"/>
              <w:rPr>
                <w:sz w:val="20"/>
              </w:rPr>
            </w:pPr>
            <w:r>
              <w:rPr>
                <w:sz w:val="20"/>
              </w:rPr>
              <w:t>AA-</w:t>
            </w:r>
          </w:p>
        </w:tc>
        <w:tc>
          <w:tcPr>
            <w:tcW w:w="2521"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30"/>
        </w:trPr>
        <w:tc>
          <w:tcPr>
            <w:tcW w:w="3404"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b/>
                <w:sz w:val="20"/>
              </w:rPr>
            </w:pPr>
            <w:r>
              <w:rPr>
                <w:b/>
                <w:sz w:val="20"/>
              </w:rPr>
              <w:t>Performance:</w:t>
            </w:r>
          </w:p>
        </w:tc>
        <w:tc>
          <w:tcPr>
            <w:tcW w:w="280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5"/>
              <w:rPr>
                <w:b/>
                <w:sz w:val="20"/>
              </w:rPr>
            </w:pPr>
            <w:r>
              <w:rPr>
                <w:b/>
                <w:sz w:val="20"/>
              </w:rPr>
              <w:t>Return (p.a.)</w:t>
            </w:r>
          </w:p>
        </w:tc>
        <w:tc>
          <w:tcPr>
            <w:tcW w:w="2521"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4"/>
              <w:rPr>
                <w:b/>
                <w:sz w:val="20"/>
              </w:rPr>
            </w:pPr>
            <w:r>
              <w:rPr>
                <w:b/>
                <w:sz w:val="20"/>
              </w:rPr>
              <w:t>Payout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30"/>
        </w:trPr>
        <w:tc>
          <w:tcPr>
            <w:tcW w:w="3404" w:type="dxa"/>
            <w:tcBorders>
              <w:top w:val="single" w:sz="4" w:space="0" w:color="000000"/>
              <w:left w:val="single" w:sz="4" w:space="0" w:color="000000"/>
              <w:bottom w:val="nil"/>
              <w:right w:val="single" w:sz="4" w:space="0" w:color="000000"/>
            </w:tcBorders>
          </w:tcPr>
          <w:p w:rsidR="00030318" w:rsidRDefault="00030318" w:rsidP="00030318">
            <w:pPr>
              <w:pStyle w:val="TableParagraph"/>
              <w:spacing w:line="211" w:lineRule="exact"/>
              <w:rPr>
                <w:sz w:val="20"/>
              </w:rPr>
            </w:pPr>
            <w:r>
              <w:rPr>
                <w:sz w:val="20"/>
              </w:rPr>
              <w:t>Year ended June 30 2016</w:t>
            </w:r>
          </w:p>
        </w:tc>
        <w:tc>
          <w:tcPr>
            <w:tcW w:w="2809" w:type="dxa"/>
            <w:tcBorders>
              <w:top w:val="single" w:sz="4" w:space="0" w:color="000000"/>
              <w:left w:val="single" w:sz="4" w:space="0" w:color="000000"/>
              <w:bottom w:val="nil"/>
              <w:right w:val="single" w:sz="4" w:space="0" w:color="000000"/>
            </w:tcBorders>
          </w:tcPr>
          <w:p w:rsidR="00030318" w:rsidRDefault="00030318" w:rsidP="00030318">
            <w:pPr>
              <w:pStyle w:val="TableParagraph"/>
              <w:spacing w:line="211" w:lineRule="exact"/>
              <w:ind w:left="105"/>
              <w:rPr>
                <w:sz w:val="20"/>
              </w:rPr>
            </w:pPr>
            <w:r>
              <w:rPr>
                <w:sz w:val="20"/>
              </w:rPr>
              <w:t>5.56%</w:t>
            </w:r>
          </w:p>
        </w:tc>
        <w:tc>
          <w:tcPr>
            <w:tcW w:w="2521" w:type="dxa"/>
            <w:tcBorders>
              <w:top w:val="single" w:sz="4" w:space="0" w:color="000000"/>
              <w:left w:val="single" w:sz="4" w:space="0" w:color="000000"/>
              <w:bottom w:val="nil"/>
              <w:right w:val="single" w:sz="4" w:space="0" w:color="000000"/>
            </w:tcBorders>
          </w:tcPr>
          <w:p w:rsidR="00030318" w:rsidRDefault="00030318" w:rsidP="00030318">
            <w:pPr>
              <w:pStyle w:val="TableParagraph"/>
              <w:spacing w:line="211" w:lineRule="exact"/>
              <w:ind w:left="104"/>
              <w:rPr>
                <w:sz w:val="20"/>
              </w:rPr>
            </w:pPr>
            <w:r>
              <w:rPr>
                <w:sz w:val="20"/>
              </w:rPr>
              <w:t>Rs. 5.85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3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10" w:lineRule="exact"/>
              <w:rPr>
                <w:sz w:val="20"/>
              </w:rPr>
            </w:pPr>
            <w:r>
              <w:rPr>
                <w:sz w:val="20"/>
              </w:rPr>
              <w:t>Year ended June 30 2016</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10" w:lineRule="exact"/>
              <w:ind w:left="105"/>
              <w:rPr>
                <w:sz w:val="20"/>
              </w:rPr>
            </w:pPr>
            <w:r>
              <w:rPr>
                <w:sz w:val="20"/>
              </w:rPr>
              <w:t>4.36%</w:t>
            </w: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10" w:lineRule="exact"/>
              <w:ind w:left="104"/>
              <w:rPr>
                <w:sz w:val="20"/>
              </w:rPr>
            </w:pPr>
            <w:r>
              <w:rPr>
                <w:sz w:val="20"/>
              </w:rPr>
              <w:t>Rs. 4.10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3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10" w:lineRule="exact"/>
              <w:rPr>
                <w:sz w:val="20"/>
              </w:rPr>
            </w:pPr>
            <w:r>
              <w:rPr>
                <w:sz w:val="20"/>
              </w:rPr>
              <w:t>Year ended June 30 2015</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10" w:lineRule="exact"/>
              <w:ind w:left="105"/>
              <w:rPr>
                <w:sz w:val="20"/>
              </w:rPr>
            </w:pPr>
            <w:r>
              <w:rPr>
                <w:sz w:val="20"/>
              </w:rPr>
              <w:t>6.15%</w:t>
            </w: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10" w:lineRule="exact"/>
              <w:ind w:left="104"/>
              <w:rPr>
                <w:sz w:val="20"/>
              </w:rPr>
            </w:pPr>
            <w:r>
              <w:rPr>
                <w:sz w:val="20"/>
              </w:rPr>
              <w:t>Rs. 6.82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9"/>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9" w:lineRule="exact"/>
              <w:rPr>
                <w:sz w:val="20"/>
              </w:rPr>
            </w:pPr>
            <w:r>
              <w:rPr>
                <w:sz w:val="20"/>
              </w:rPr>
              <w:t>Year ended June 30 2014</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09" w:lineRule="exact"/>
              <w:ind w:left="105"/>
              <w:rPr>
                <w:sz w:val="20"/>
              </w:rPr>
            </w:pPr>
            <w:r>
              <w:rPr>
                <w:sz w:val="20"/>
              </w:rPr>
              <w:t>8.10%</w:t>
            </w: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09" w:lineRule="exact"/>
              <w:ind w:left="104"/>
              <w:rPr>
                <w:sz w:val="20"/>
              </w:rPr>
            </w:pPr>
            <w:r>
              <w:rPr>
                <w:sz w:val="20"/>
              </w:rPr>
              <w:t>Rs. 6.72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9"/>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09" w:lineRule="exact"/>
              <w:rPr>
                <w:sz w:val="20"/>
              </w:rPr>
            </w:pPr>
            <w:r>
              <w:rPr>
                <w:sz w:val="20"/>
              </w:rPr>
              <w:t>Year ended 30 June 2013</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09" w:lineRule="exact"/>
              <w:ind w:left="105"/>
              <w:rPr>
                <w:sz w:val="20"/>
              </w:rPr>
            </w:pPr>
            <w:r>
              <w:rPr>
                <w:sz w:val="20"/>
              </w:rPr>
              <w:t>9.09%</w:t>
            </w: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09" w:lineRule="exact"/>
              <w:ind w:left="104"/>
              <w:rPr>
                <w:sz w:val="20"/>
              </w:rPr>
            </w:pPr>
            <w:r>
              <w:rPr>
                <w:sz w:val="20"/>
              </w:rPr>
              <w:t>Rs. 8.78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30"/>
        </w:trPr>
        <w:tc>
          <w:tcPr>
            <w:tcW w:w="3404" w:type="dxa"/>
            <w:tcBorders>
              <w:top w:val="nil"/>
              <w:left w:val="single" w:sz="4" w:space="0" w:color="000000"/>
              <w:bottom w:val="nil"/>
              <w:right w:val="single" w:sz="4" w:space="0" w:color="000000"/>
            </w:tcBorders>
          </w:tcPr>
          <w:p w:rsidR="00030318" w:rsidRDefault="00030318" w:rsidP="00030318">
            <w:pPr>
              <w:pStyle w:val="TableParagraph"/>
              <w:spacing w:line="210" w:lineRule="exact"/>
              <w:rPr>
                <w:sz w:val="20"/>
              </w:rPr>
            </w:pPr>
            <w:r>
              <w:rPr>
                <w:sz w:val="20"/>
              </w:rPr>
              <w:lastRenderedPageBreak/>
              <w:t>Year ended 30 June 2012</w:t>
            </w:r>
          </w:p>
        </w:tc>
        <w:tc>
          <w:tcPr>
            <w:tcW w:w="2809" w:type="dxa"/>
            <w:tcBorders>
              <w:top w:val="nil"/>
              <w:left w:val="single" w:sz="4" w:space="0" w:color="000000"/>
              <w:bottom w:val="nil"/>
              <w:right w:val="single" w:sz="4" w:space="0" w:color="000000"/>
            </w:tcBorders>
          </w:tcPr>
          <w:p w:rsidR="00030318" w:rsidRDefault="00030318" w:rsidP="00030318">
            <w:pPr>
              <w:pStyle w:val="TableParagraph"/>
              <w:spacing w:line="210" w:lineRule="exact"/>
              <w:ind w:left="105"/>
              <w:rPr>
                <w:sz w:val="20"/>
              </w:rPr>
            </w:pPr>
            <w:r>
              <w:rPr>
                <w:sz w:val="20"/>
              </w:rPr>
              <w:t>11.34%</w:t>
            </w: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10" w:lineRule="exact"/>
              <w:ind w:left="104"/>
              <w:rPr>
                <w:sz w:val="20"/>
              </w:rPr>
            </w:pPr>
            <w:r>
              <w:rPr>
                <w:sz w:val="20"/>
              </w:rPr>
              <w:t>Rs. 9.05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9"/>
        </w:trPr>
        <w:tc>
          <w:tcPr>
            <w:tcW w:w="3404"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Year ended 30 June 2011</w:t>
            </w:r>
          </w:p>
        </w:tc>
        <w:tc>
          <w:tcPr>
            <w:tcW w:w="2809"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5"/>
              <w:rPr>
                <w:sz w:val="20"/>
              </w:rPr>
            </w:pPr>
            <w:r>
              <w:rPr>
                <w:sz w:val="20"/>
              </w:rPr>
              <w:t>12.03%</w:t>
            </w:r>
          </w:p>
        </w:tc>
        <w:tc>
          <w:tcPr>
            <w:tcW w:w="2521"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4"/>
              <w:rPr>
                <w:sz w:val="20"/>
              </w:rPr>
            </w:pPr>
            <w:r>
              <w:rPr>
                <w:sz w:val="20"/>
              </w:rPr>
              <w:t>Rs. 7.45 per unit</w:t>
            </w:r>
          </w:p>
        </w:tc>
        <w:tc>
          <w:tcPr>
            <w:tcW w:w="1049" w:type="dxa"/>
            <w:vMerge/>
            <w:tcBorders>
              <w:top w:val="nil"/>
              <w:left w:val="single" w:sz="4" w:space="0" w:color="000000"/>
              <w:bottom w:val="nil"/>
              <w:right w:val="nil"/>
            </w:tcBorders>
          </w:tcPr>
          <w:p w:rsidR="00030318" w:rsidRDefault="00030318" w:rsidP="00030318">
            <w:pPr>
              <w:rPr>
                <w:sz w:val="2"/>
                <w:szCs w:val="2"/>
              </w:rPr>
            </w:pPr>
          </w:p>
        </w:tc>
      </w:tr>
    </w:tbl>
    <w:p w:rsidR="00030318" w:rsidRDefault="00030318" w:rsidP="00030318">
      <w:pPr>
        <w:pStyle w:val="BodyText"/>
      </w:pPr>
    </w:p>
    <w:p w:rsidR="00030318" w:rsidRDefault="00030318" w:rsidP="00030318">
      <w:pPr>
        <w:pStyle w:val="BodyText"/>
        <w:spacing w:before="7"/>
        <w:rPr>
          <w:sz w:val="26"/>
        </w:rPr>
      </w:pPr>
    </w:p>
    <w:p w:rsidR="00030318" w:rsidRDefault="00030318" w:rsidP="00030318">
      <w:pPr>
        <w:pStyle w:val="Heading5"/>
        <w:ind w:left="621" w:right="908"/>
        <w:jc w:val="both"/>
      </w:pPr>
      <w:r>
        <w:t>Note: Effective from July 18</w:t>
      </w:r>
      <w:r>
        <w:rPr>
          <w:vertAlign w:val="superscript"/>
        </w:rPr>
        <w:t>th</w:t>
      </w:r>
      <w:r>
        <w:t>, 2012, UBL Islamic Savings Fund (UISF) is now renamed as UBL Islamic Sovereign Fund (UISF) and has been reconstituted as a Shariah Compliant Government Securities Fund under the Shariah Compliant Income</w:t>
      </w:r>
      <w:r>
        <w:rPr>
          <w:spacing w:val="1"/>
        </w:rPr>
        <w:t xml:space="preserve"> </w:t>
      </w:r>
      <w:r>
        <w:t>Category.</w:t>
      </w:r>
    </w:p>
    <w:p w:rsidR="00030318" w:rsidRDefault="00030318" w:rsidP="00030318">
      <w:pPr>
        <w:pStyle w:val="BodyText"/>
        <w:rPr>
          <w:b/>
          <w:sz w:val="22"/>
        </w:rPr>
      </w:pPr>
    </w:p>
    <w:p w:rsidR="00030318" w:rsidRDefault="00030318" w:rsidP="00030318">
      <w:pPr>
        <w:pStyle w:val="BodyText"/>
        <w:rPr>
          <w:b/>
          <w:sz w:val="18"/>
        </w:rPr>
      </w:pPr>
    </w:p>
    <w:p w:rsidR="00030318" w:rsidRDefault="00030318" w:rsidP="00030318">
      <w:pPr>
        <w:ind w:left="621"/>
        <w:rPr>
          <w:b/>
          <w:sz w:val="20"/>
        </w:rPr>
      </w:pPr>
      <w:r>
        <w:rPr>
          <w:b/>
          <w:sz w:val="20"/>
        </w:rPr>
        <w:t>UBL GOVERNMENT SECURITIES FUND (UGSF)</w:t>
      </w:r>
    </w:p>
    <w:p w:rsidR="00030318" w:rsidRDefault="00030318" w:rsidP="00030318">
      <w:pPr>
        <w:pStyle w:val="BodyText"/>
        <w:spacing w:before="3"/>
        <w:rPr>
          <w:b/>
        </w:rPr>
      </w:pPr>
    </w:p>
    <w:p w:rsidR="00030318" w:rsidRDefault="00030318" w:rsidP="00030318">
      <w:pPr>
        <w:pStyle w:val="BodyText"/>
        <w:ind w:left="621" w:right="905"/>
        <w:jc w:val="both"/>
      </w:pPr>
      <w:r>
        <w:t>UGSF is an open</w:t>
      </w:r>
      <w:r>
        <w:rPr>
          <w:rFonts w:ascii="Cambria Math" w:hAnsi="Cambria Math"/>
        </w:rPr>
        <w:t>‐</w:t>
      </w:r>
      <w:r>
        <w:t>end Income Fund which aims to generate a competitive return with minimum risk, by investing primarily in Government Securities. The Fund maintains a minimum 70% allocation in Government Securities, with the remainder in placements with banks and near-cash instruments. The Fund aims to maintain weighted average time to maturity of the portfolio not exceeding 4</w:t>
      </w:r>
      <w:r>
        <w:rPr>
          <w:spacing w:val="-21"/>
        </w:rPr>
        <w:t xml:space="preserve"> </w:t>
      </w:r>
      <w:r>
        <w:t>years.</w:t>
      </w:r>
    </w:p>
    <w:p w:rsidR="00030318" w:rsidRDefault="00030318" w:rsidP="00030318">
      <w:pPr>
        <w:pStyle w:val="BodyText"/>
        <w:spacing w:before="1"/>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09"/>
        <w:gridCol w:w="2521"/>
      </w:tblGrid>
      <w:tr w:rsidR="00030318" w:rsidTr="00030318">
        <w:trPr>
          <w:trHeight w:val="230"/>
        </w:trPr>
        <w:tc>
          <w:tcPr>
            <w:tcW w:w="3512" w:type="dxa"/>
          </w:tcPr>
          <w:p w:rsidR="00030318" w:rsidRDefault="00030318" w:rsidP="00030318">
            <w:pPr>
              <w:pStyle w:val="TableParagraph"/>
              <w:spacing w:line="210" w:lineRule="exact"/>
              <w:rPr>
                <w:sz w:val="20"/>
              </w:rPr>
            </w:pPr>
            <w:r>
              <w:rPr>
                <w:sz w:val="20"/>
              </w:rPr>
              <w:t>Date of launching</w:t>
            </w:r>
          </w:p>
        </w:tc>
        <w:tc>
          <w:tcPr>
            <w:tcW w:w="2809" w:type="dxa"/>
          </w:tcPr>
          <w:p w:rsidR="00030318" w:rsidRDefault="00030318" w:rsidP="00030318">
            <w:pPr>
              <w:pStyle w:val="TableParagraph"/>
              <w:spacing w:line="210" w:lineRule="exact"/>
              <w:ind w:left="105"/>
              <w:rPr>
                <w:sz w:val="20"/>
              </w:rPr>
            </w:pPr>
            <w:r>
              <w:rPr>
                <w:sz w:val="20"/>
              </w:rPr>
              <w:t>27 July 2011</w:t>
            </w:r>
          </w:p>
        </w:tc>
        <w:tc>
          <w:tcPr>
            <w:tcW w:w="2521" w:type="dxa"/>
          </w:tcPr>
          <w:p w:rsidR="00030318" w:rsidRDefault="00030318" w:rsidP="00030318">
            <w:pPr>
              <w:pStyle w:val="TableParagraph"/>
              <w:ind w:left="0"/>
              <w:rPr>
                <w:rFonts w:ascii="Times New Roman"/>
                <w:sz w:val="16"/>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Par Value of units</w:t>
            </w:r>
          </w:p>
        </w:tc>
        <w:tc>
          <w:tcPr>
            <w:tcW w:w="2809" w:type="dxa"/>
          </w:tcPr>
          <w:p w:rsidR="00030318" w:rsidRDefault="00030318" w:rsidP="00030318">
            <w:pPr>
              <w:pStyle w:val="TableParagraph"/>
              <w:spacing w:line="210" w:lineRule="exact"/>
              <w:ind w:left="105"/>
              <w:rPr>
                <w:sz w:val="20"/>
              </w:rPr>
            </w:pPr>
            <w:r>
              <w:rPr>
                <w:sz w:val="20"/>
              </w:rPr>
              <w:t>Rs. 100</w:t>
            </w:r>
          </w:p>
        </w:tc>
        <w:tc>
          <w:tcPr>
            <w:tcW w:w="2521" w:type="dxa"/>
          </w:tcPr>
          <w:p w:rsidR="00030318" w:rsidRDefault="00030318" w:rsidP="00030318">
            <w:pPr>
              <w:pStyle w:val="TableParagraph"/>
              <w:ind w:left="0"/>
              <w:rPr>
                <w:rFonts w:ascii="Times New Roman"/>
                <w:sz w:val="16"/>
              </w:rPr>
            </w:pPr>
          </w:p>
        </w:tc>
      </w:tr>
      <w:tr w:rsidR="00030318" w:rsidTr="00030318">
        <w:trPr>
          <w:trHeight w:val="226"/>
        </w:trPr>
        <w:tc>
          <w:tcPr>
            <w:tcW w:w="3512" w:type="dxa"/>
            <w:tcBorders>
              <w:bottom w:val="nil"/>
            </w:tcBorders>
          </w:tcPr>
          <w:p w:rsidR="00030318" w:rsidRDefault="00030318" w:rsidP="00030318">
            <w:pPr>
              <w:pStyle w:val="TableParagraph"/>
              <w:spacing w:line="207" w:lineRule="exact"/>
              <w:rPr>
                <w:sz w:val="20"/>
              </w:rPr>
            </w:pPr>
            <w:r w:rsidRPr="00E65CA8">
              <w:rPr>
                <w:sz w:val="20"/>
              </w:rPr>
              <w:t>Net Assets (as at Feb 19 2019)</w:t>
            </w:r>
          </w:p>
        </w:tc>
        <w:tc>
          <w:tcPr>
            <w:tcW w:w="2809" w:type="dxa"/>
            <w:tcBorders>
              <w:bottom w:val="nil"/>
            </w:tcBorders>
          </w:tcPr>
          <w:p w:rsidR="00030318" w:rsidRDefault="00030318" w:rsidP="00030318">
            <w:pPr>
              <w:pStyle w:val="TableParagraph"/>
              <w:tabs>
                <w:tab w:val="left" w:pos="1155"/>
                <w:tab w:val="center" w:pos="1452"/>
              </w:tabs>
              <w:spacing w:line="207" w:lineRule="exact"/>
              <w:ind w:left="105"/>
              <w:rPr>
                <w:sz w:val="20"/>
              </w:rPr>
            </w:pPr>
            <w:r>
              <w:rPr>
                <w:sz w:val="20"/>
              </w:rPr>
              <w:t>Rs. 1,577 million</w:t>
            </w:r>
          </w:p>
        </w:tc>
        <w:tc>
          <w:tcPr>
            <w:tcW w:w="2521" w:type="dxa"/>
          </w:tcPr>
          <w:p w:rsidR="00030318" w:rsidRDefault="00030318" w:rsidP="00030318">
            <w:pPr>
              <w:pStyle w:val="TableParagraph"/>
              <w:ind w:left="0"/>
              <w:rPr>
                <w:rFonts w:ascii="Times New Roman"/>
                <w:sz w:val="18"/>
              </w:rPr>
            </w:pPr>
          </w:p>
        </w:tc>
      </w:tr>
      <w:tr w:rsidR="00030318" w:rsidTr="00030318">
        <w:trPr>
          <w:trHeight w:val="226"/>
        </w:trPr>
        <w:tc>
          <w:tcPr>
            <w:tcW w:w="3512" w:type="dxa"/>
            <w:tcBorders>
              <w:bottom w:val="nil"/>
            </w:tcBorders>
          </w:tcPr>
          <w:p w:rsidR="00030318" w:rsidRDefault="00030318" w:rsidP="00030318">
            <w:pPr>
              <w:pStyle w:val="TableParagraph"/>
              <w:spacing w:line="207" w:lineRule="exact"/>
              <w:rPr>
                <w:sz w:val="20"/>
              </w:rPr>
            </w:pPr>
            <w:r>
              <w:rPr>
                <w:sz w:val="20"/>
              </w:rPr>
              <w:t>Net Assets (as at June 30 2018)</w:t>
            </w:r>
          </w:p>
        </w:tc>
        <w:tc>
          <w:tcPr>
            <w:tcW w:w="2809" w:type="dxa"/>
            <w:tcBorders>
              <w:bottom w:val="nil"/>
            </w:tcBorders>
          </w:tcPr>
          <w:p w:rsidR="00030318" w:rsidRDefault="00030318" w:rsidP="00030318">
            <w:pPr>
              <w:pStyle w:val="TableParagraph"/>
              <w:tabs>
                <w:tab w:val="left" w:pos="1155"/>
                <w:tab w:val="center" w:pos="1452"/>
              </w:tabs>
              <w:spacing w:line="207" w:lineRule="exact"/>
              <w:ind w:left="105"/>
              <w:rPr>
                <w:sz w:val="20"/>
              </w:rPr>
            </w:pPr>
            <w:r>
              <w:rPr>
                <w:sz w:val="20"/>
              </w:rPr>
              <w:t>Rs. 1.8Bn</w:t>
            </w:r>
            <w:r>
              <w:rPr>
                <w:sz w:val="20"/>
              </w:rPr>
              <w:tab/>
              <w:t>.</w:t>
            </w:r>
          </w:p>
        </w:tc>
        <w:tc>
          <w:tcPr>
            <w:tcW w:w="2521" w:type="dxa"/>
          </w:tcPr>
          <w:p w:rsidR="00030318" w:rsidRDefault="00030318" w:rsidP="00030318">
            <w:pPr>
              <w:pStyle w:val="TableParagraph"/>
              <w:ind w:left="0"/>
              <w:rPr>
                <w:rFonts w:ascii="Times New Roman"/>
                <w:sz w:val="18"/>
              </w:rPr>
            </w:pPr>
          </w:p>
        </w:tc>
      </w:tr>
      <w:tr w:rsidR="00030318" w:rsidTr="00030318">
        <w:trPr>
          <w:trHeight w:val="226"/>
        </w:trPr>
        <w:tc>
          <w:tcPr>
            <w:tcW w:w="3512" w:type="dxa"/>
            <w:tcBorders>
              <w:bottom w:val="nil"/>
            </w:tcBorders>
          </w:tcPr>
          <w:p w:rsidR="00030318" w:rsidRDefault="00030318" w:rsidP="00030318">
            <w:pPr>
              <w:pStyle w:val="TableParagraph"/>
              <w:spacing w:line="207" w:lineRule="exact"/>
              <w:rPr>
                <w:sz w:val="20"/>
              </w:rPr>
            </w:pPr>
            <w:r>
              <w:rPr>
                <w:sz w:val="20"/>
              </w:rPr>
              <w:t>Net Assets (as at June30 2017)</w:t>
            </w:r>
          </w:p>
        </w:tc>
        <w:tc>
          <w:tcPr>
            <w:tcW w:w="2809" w:type="dxa"/>
            <w:tcBorders>
              <w:bottom w:val="nil"/>
            </w:tcBorders>
          </w:tcPr>
          <w:p w:rsidR="00030318" w:rsidRDefault="00030318" w:rsidP="00030318">
            <w:pPr>
              <w:pStyle w:val="TableParagraph"/>
              <w:spacing w:line="207" w:lineRule="exact"/>
              <w:ind w:left="105"/>
              <w:rPr>
                <w:sz w:val="20"/>
              </w:rPr>
            </w:pPr>
            <w:r>
              <w:rPr>
                <w:sz w:val="20"/>
              </w:rPr>
              <w:t>3,339Million</w:t>
            </w:r>
          </w:p>
        </w:tc>
        <w:tc>
          <w:tcPr>
            <w:tcW w:w="2521" w:type="dxa"/>
            <w:vMerge w:val="restart"/>
          </w:tcPr>
          <w:p w:rsidR="00030318" w:rsidRDefault="00030318" w:rsidP="00030318">
            <w:pPr>
              <w:pStyle w:val="TableParagraph"/>
              <w:ind w:left="0"/>
              <w:rPr>
                <w:rFonts w:ascii="Times New Roman"/>
                <w:sz w:val="18"/>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Net Assets (as at June 30 2016)</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15,296 Million</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Net Assets (as at June 30 2015)</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6,251 Million</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Net Assets (as at June 30 2014)</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5,788 Million</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Net Assets (as at 30 June 2013)</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1,905 Million</w:t>
            </w:r>
          </w:p>
        </w:tc>
        <w:tc>
          <w:tcPr>
            <w:tcW w:w="2521" w:type="dxa"/>
            <w:vMerge/>
            <w:tcBorders>
              <w:top w:val="nil"/>
            </w:tcBorders>
          </w:tcPr>
          <w:p w:rsidR="00030318" w:rsidRDefault="00030318" w:rsidP="00030318">
            <w:pPr>
              <w:rPr>
                <w:sz w:val="2"/>
                <w:szCs w:val="2"/>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Net Assets (as at 30 June 2012)</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4,654 Million</w:t>
            </w:r>
          </w:p>
        </w:tc>
        <w:tc>
          <w:tcPr>
            <w:tcW w:w="2521" w:type="dxa"/>
            <w:vMerge/>
            <w:tcBorders>
              <w:top w:val="nil"/>
            </w:tcBorders>
          </w:tcPr>
          <w:p w:rsidR="00030318" w:rsidRDefault="00030318" w:rsidP="00030318">
            <w:pPr>
              <w:rPr>
                <w:sz w:val="2"/>
                <w:szCs w:val="2"/>
              </w:rPr>
            </w:pPr>
          </w:p>
        </w:tc>
      </w:tr>
      <w:tr w:rsidR="00030318" w:rsidTr="00030318">
        <w:trPr>
          <w:trHeight w:val="223"/>
        </w:trPr>
        <w:tc>
          <w:tcPr>
            <w:tcW w:w="3512" w:type="dxa"/>
            <w:tcBorders>
              <w:top w:val="nil"/>
            </w:tcBorders>
          </w:tcPr>
          <w:p w:rsidR="00030318" w:rsidRDefault="00030318" w:rsidP="00030318">
            <w:pPr>
              <w:pStyle w:val="TableParagraph"/>
              <w:spacing w:line="203" w:lineRule="exact"/>
              <w:rPr>
                <w:sz w:val="20"/>
              </w:rPr>
            </w:pPr>
            <w:r>
              <w:rPr>
                <w:sz w:val="20"/>
              </w:rPr>
              <w:t>Net Assets (as at 30 Aug 2011)</w:t>
            </w:r>
          </w:p>
        </w:tc>
        <w:tc>
          <w:tcPr>
            <w:tcW w:w="2809" w:type="dxa"/>
            <w:tcBorders>
              <w:top w:val="nil"/>
            </w:tcBorders>
          </w:tcPr>
          <w:p w:rsidR="00030318" w:rsidRDefault="00030318" w:rsidP="00030318">
            <w:pPr>
              <w:pStyle w:val="TableParagraph"/>
              <w:spacing w:line="203" w:lineRule="exact"/>
              <w:ind w:left="105"/>
              <w:rPr>
                <w:sz w:val="20"/>
              </w:rPr>
            </w:pPr>
            <w:r>
              <w:rPr>
                <w:sz w:val="20"/>
              </w:rPr>
              <w:t>1,166 Million</w:t>
            </w:r>
          </w:p>
        </w:tc>
        <w:tc>
          <w:tcPr>
            <w:tcW w:w="2521" w:type="dxa"/>
            <w:vMerge/>
            <w:tcBorders>
              <w:top w:val="nil"/>
            </w:tcBorders>
          </w:tcPr>
          <w:p w:rsidR="00030318" w:rsidRDefault="00030318" w:rsidP="00030318">
            <w:pPr>
              <w:rPr>
                <w:sz w:val="2"/>
                <w:szCs w:val="2"/>
              </w:rPr>
            </w:pPr>
          </w:p>
        </w:tc>
      </w:tr>
      <w:tr w:rsidR="00030318" w:rsidTr="00030318">
        <w:trPr>
          <w:trHeight w:val="225"/>
        </w:trPr>
        <w:tc>
          <w:tcPr>
            <w:tcW w:w="3512" w:type="dxa"/>
            <w:tcBorders>
              <w:bottom w:val="nil"/>
            </w:tcBorders>
          </w:tcPr>
          <w:p w:rsidR="00030318" w:rsidRDefault="00030318" w:rsidP="00030318">
            <w:pPr>
              <w:pStyle w:val="TableParagraph"/>
              <w:spacing w:line="206" w:lineRule="exact"/>
              <w:rPr>
                <w:sz w:val="20"/>
              </w:rPr>
            </w:pPr>
            <w:r w:rsidRPr="00E65CA8">
              <w:rPr>
                <w:sz w:val="20"/>
              </w:rPr>
              <w:t>NAV (as at Feb 19, 2019)</w:t>
            </w:r>
          </w:p>
        </w:tc>
        <w:tc>
          <w:tcPr>
            <w:tcW w:w="2809" w:type="dxa"/>
            <w:tcBorders>
              <w:bottom w:val="nil"/>
            </w:tcBorders>
          </w:tcPr>
          <w:p w:rsidR="00030318" w:rsidRDefault="00030318" w:rsidP="00030318">
            <w:pPr>
              <w:pStyle w:val="TableParagraph"/>
              <w:spacing w:line="206" w:lineRule="exact"/>
              <w:ind w:left="105"/>
              <w:rPr>
                <w:sz w:val="20"/>
              </w:rPr>
            </w:pPr>
            <w:r>
              <w:rPr>
                <w:sz w:val="20"/>
              </w:rPr>
              <w:t xml:space="preserve">Rs. </w:t>
            </w:r>
            <w:r w:rsidRPr="00E65CA8">
              <w:rPr>
                <w:sz w:val="20"/>
              </w:rPr>
              <w:t>110.565</w:t>
            </w:r>
          </w:p>
        </w:tc>
        <w:tc>
          <w:tcPr>
            <w:tcW w:w="2521" w:type="dxa"/>
          </w:tcPr>
          <w:p w:rsidR="00030318" w:rsidRDefault="00030318" w:rsidP="00030318">
            <w:pPr>
              <w:pStyle w:val="TableParagraph"/>
              <w:ind w:left="0"/>
              <w:rPr>
                <w:rFonts w:ascii="Times New Roman"/>
                <w:sz w:val="18"/>
              </w:rPr>
            </w:pPr>
          </w:p>
        </w:tc>
      </w:tr>
      <w:tr w:rsidR="00030318" w:rsidTr="00030318">
        <w:trPr>
          <w:trHeight w:val="225"/>
        </w:trPr>
        <w:tc>
          <w:tcPr>
            <w:tcW w:w="3512" w:type="dxa"/>
            <w:tcBorders>
              <w:bottom w:val="nil"/>
            </w:tcBorders>
          </w:tcPr>
          <w:p w:rsidR="00030318" w:rsidRDefault="00030318" w:rsidP="00030318">
            <w:pPr>
              <w:pStyle w:val="TableParagraph"/>
              <w:spacing w:line="206" w:lineRule="exact"/>
              <w:rPr>
                <w:sz w:val="20"/>
              </w:rPr>
            </w:pPr>
            <w:r>
              <w:rPr>
                <w:sz w:val="20"/>
              </w:rPr>
              <w:t>NAV (as at June 30 2017)</w:t>
            </w:r>
          </w:p>
        </w:tc>
        <w:tc>
          <w:tcPr>
            <w:tcW w:w="2809" w:type="dxa"/>
            <w:tcBorders>
              <w:bottom w:val="nil"/>
            </w:tcBorders>
          </w:tcPr>
          <w:p w:rsidR="00030318" w:rsidRDefault="00030318" w:rsidP="00030318">
            <w:pPr>
              <w:pStyle w:val="TableParagraph"/>
              <w:spacing w:line="206" w:lineRule="exact"/>
              <w:ind w:left="105"/>
              <w:rPr>
                <w:sz w:val="20"/>
              </w:rPr>
            </w:pPr>
            <w:r>
              <w:rPr>
                <w:sz w:val="20"/>
              </w:rPr>
              <w:t>105.5946</w:t>
            </w:r>
          </w:p>
        </w:tc>
        <w:tc>
          <w:tcPr>
            <w:tcW w:w="2521" w:type="dxa"/>
            <w:vMerge w:val="restart"/>
          </w:tcPr>
          <w:p w:rsidR="00030318" w:rsidRDefault="00030318" w:rsidP="00030318">
            <w:pPr>
              <w:pStyle w:val="TableParagraph"/>
              <w:ind w:left="0"/>
              <w:rPr>
                <w:rFonts w:ascii="Times New Roman"/>
                <w:sz w:val="18"/>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June 30 2016)</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105.4801</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1" w:lineRule="exact"/>
              <w:rPr>
                <w:sz w:val="20"/>
              </w:rPr>
            </w:pPr>
            <w:r>
              <w:rPr>
                <w:sz w:val="20"/>
              </w:rPr>
              <w:t>NAV (as at June 30 2015)</w:t>
            </w:r>
          </w:p>
        </w:tc>
        <w:tc>
          <w:tcPr>
            <w:tcW w:w="2809" w:type="dxa"/>
            <w:tcBorders>
              <w:top w:val="nil"/>
              <w:bottom w:val="nil"/>
            </w:tcBorders>
          </w:tcPr>
          <w:p w:rsidR="00030318" w:rsidRDefault="00030318" w:rsidP="00030318">
            <w:pPr>
              <w:pStyle w:val="TableParagraph"/>
              <w:spacing w:line="201" w:lineRule="exact"/>
              <w:ind w:left="105"/>
              <w:rPr>
                <w:sz w:val="20"/>
              </w:rPr>
            </w:pPr>
            <w:r>
              <w:rPr>
                <w:sz w:val="20"/>
              </w:rPr>
              <w:t>107.012</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1" w:lineRule="exact"/>
              <w:rPr>
                <w:sz w:val="20"/>
              </w:rPr>
            </w:pPr>
            <w:r>
              <w:rPr>
                <w:sz w:val="20"/>
              </w:rPr>
              <w:t>NAV (as at June 30 2014)</w:t>
            </w:r>
          </w:p>
        </w:tc>
        <w:tc>
          <w:tcPr>
            <w:tcW w:w="2809" w:type="dxa"/>
            <w:tcBorders>
              <w:top w:val="nil"/>
              <w:bottom w:val="nil"/>
            </w:tcBorders>
          </w:tcPr>
          <w:p w:rsidR="00030318" w:rsidRDefault="00030318" w:rsidP="00030318">
            <w:pPr>
              <w:pStyle w:val="TableParagraph"/>
              <w:spacing w:line="201" w:lineRule="exact"/>
              <w:ind w:left="105"/>
              <w:rPr>
                <w:sz w:val="20"/>
              </w:rPr>
            </w:pPr>
            <w:r>
              <w:rPr>
                <w:sz w:val="20"/>
              </w:rPr>
              <w:t>100.3739</w:t>
            </w:r>
          </w:p>
        </w:tc>
        <w:tc>
          <w:tcPr>
            <w:tcW w:w="2521" w:type="dxa"/>
            <w:vMerge/>
            <w:tcBorders>
              <w:top w:val="nil"/>
            </w:tcBorders>
          </w:tcPr>
          <w:p w:rsidR="00030318" w:rsidRDefault="00030318" w:rsidP="00030318">
            <w:pPr>
              <w:rPr>
                <w:sz w:val="2"/>
                <w:szCs w:val="2"/>
              </w:rPr>
            </w:pPr>
          </w:p>
        </w:tc>
      </w:tr>
      <w:tr w:rsidR="00030318" w:rsidTr="00030318">
        <w:trPr>
          <w:trHeight w:val="220"/>
        </w:trPr>
        <w:tc>
          <w:tcPr>
            <w:tcW w:w="3512" w:type="dxa"/>
            <w:tcBorders>
              <w:top w:val="nil"/>
              <w:bottom w:val="nil"/>
            </w:tcBorders>
          </w:tcPr>
          <w:p w:rsidR="00030318" w:rsidRDefault="00030318" w:rsidP="00030318">
            <w:pPr>
              <w:pStyle w:val="TableParagraph"/>
              <w:spacing w:line="200" w:lineRule="exact"/>
              <w:rPr>
                <w:sz w:val="20"/>
              </w:rPr>
            </w:pPr>
            <w:r>
              <w:rPr>
                <w:sz w:val="20"/>
              </w:rPr>
              <w:t>NAV (as at 30 June2013)</w:t>
            </w:r>
          </w:p>
        </w:tc>
        <w:tc>
          <w:tcPr>
            <w:tcW w:w="2809" w:type="dxa"/>
            <w:tcBorders>
              <w:top w:val="nil"/>
              <w:bottom w:val="nil"/>
            </w:tcBorders>
          </w:tcPr>
          <w:p w:rsidR="00030318" w:rsidRDefault="00030318" w:rsidP="00030318">
            <w:pPr>
              <w:pStyle w:val="TableParagraph"/>
              <w:spacing w:line="200" w:lineRule="exact"/>
              <w:ind w:left="105"/>
              <w:rPr>
                <w:sz w:val="20"/>
              </w:rPr>
            </w:pPr>
            <w:r>
              <w:rPr>
                <w:sz w:val="20"/>
              </w:rPr>
              <w:t>100.0913</w:t>
            </w:r>
          </w:p>
        </w:tc>
        <w:tc>
          <w:tcPr>
            <w:tcW w:w="2521" w:type="dxa"/>
            <w:vMerge/>
            <w:tcBorders>
              <w:top w:val="nil"/>
            </w:tcBorders>
          </w:tcPr>
          <w:p w:rsidR="00030318" w:rsidRDefault="00030318" w:rsidP="00030318">
            <w:pPr>
              <w:rPr>
                <w:sz w:val="2"/>
                <w:szCs w:val="2"/>
              </w:rPr>
            </w:pPr>
          </w:p>
        </w:tc>
      </w:tr>
      <w:tr w:rsidR="00030318" w:rsidTr="00030318">
        <w:trPr>
          <w:trHeight w:val="219"/>
        </w:trPr>
        <w:tc>
          <w:tcPr>
            <w:tcW w:w="3512" w:type="dxa"/>
            <w:tcBorders>
              <w:top w:val="nil"/>
              <w:bottom w:val="nil"/>
            </w:tcBorders>
          </w:tcPr>
          <w:p w:rsidR="00030318" w:rsidRDefault="00030318" w:rsidP="00030318">
            <w:pPr>
              <w:pStyle w:val="TableParagraph"/>
              <w:spacing w:line="199" w:lineRule="exact"/>
              <w:rPr>
                <w:sz w:val="20"/>
              </w:rPr>
            </w:pPr>
            <w:r>
              <w:rPr>
                <w:sz w:val="20"/>
              </w:rPr>
              <w:t>NAV (as at 30 June 2012)</w:t>
            </w:r>
          </w:p>
        </w:tc>
        <w:tc>
          <w:tcPr>
            <w:tcW w:w="2809" w:type="dxa"/>
            <w:tcBorders>
              <w:top w:val="nil"/>
              <w:bottom w:val="nil"/>
            </w:tcBorders>
          </w:tcPr>
          <w:p w:rsidR="00030318" w:rsidRDefault="00030318" w:rsidP="00030318">
            <w:pPr>
              <w:pStyle w:val="TableParagraph"/>
              <w:spacing w:line="199" w:lineRule="exact"/>
              <w:ind w:left="105"/>
              <w:rPr>
                <w:sz w:val="20"/>
              </w:rPr>
            </w:pPr>
            <w:r>
              <w:rPr>
                <w:sz w:val="20"/>
              </w:rPr>
              <w:t>100.3820</w:t>
            </w:r>
          </w:p>
        </w:tc>
        <w:tc>
          <w:tcPr>
            <w:tcW w:w="2521" w:type="dxa"/>
            <w:vMerge/>
            <w:tcBorders>
              <w:top w:val="nil"/>
            </w:tcBorders>
          </w:tcPr>
          <w:p w:rsidR="00030318" w:rsidRDefault="00030318" w:rsidP="00030318">
            <w:pPr>
              <w:rPr>
                <w:sz w:val="2"/>
                <w:szCs w:val="2"/>
              </w:rPr>
            </w:pPr>
          </w:p>
        </w:tc>
      </w:tr>
      <w:tr w:rsidR="00030318" w:rsidTr="00030318">
        <w:trPr>
          <w:trHeight w:val="223"/>
        </w:trPr>
        <w:tc>
          <w:tcPr>
            <w:tcW w:w="3512" w:type="dxa"/>
            <w:tcBorders>
              <w:top w:val="nil"/>
            </w:tcBorders>
          </w:tcPr>
          <w:p w:rsidR="00030318" w:rsidRDefault="00030318" w:rsidP="00030318">
            <w:pPr>
              <w:pStyle w:val="TableParagraph"/>
              <w:spacing w:line="203" w:lineRule="exact"/>
              <w:rPr>
                <w:sz w:val="20"/>
              </w:rPr>
            </w:pPr>
            <w:r>
              <w:rPr>
                <w:sz w:val="20"/>
              </w:rPr>
              <w:t>NAV (as at 30 Aug 2011)</w:t>
            </w:r>
          </w:p>
        </w:tc>
        <w:tc>
          <w:tcPr>
            <w:tcW w:w="2809" w:type="dxa"/>
            <w:tcBorders>
              <w:top w:val="nil"/>
            </w:tcBorders>
          </w:tcPr>
          <w:p w:rsidR="00030318" w:rsidRDefault="00030318" w:rsidP="00030318">
            <w:pPr>
              <w:pStyle w:val="TableParagraph"/>
              <w:spacing w:line="203" w:lineRule="exact"/>
              <w:ind w:left="105"/>
              <w:rPr>
                <w:sz w:val="20"/>
              </w:rPr>
            </w:pPr>
            <w:r>
              <w:rPr>
                <w:sz w:val="20"/>
              </w:rPr>
              <w:t>101.4471</w:t>
            </w:r>
          </w:p>
        </w:tc>
        <w:tc>
          <w:tcPr>
            <w:tcW w:w="2521" w:type="dxa"/>
            <w:vMerge/>
            <w:tcBorders>
              <w:top w:val="nil"/>
            </w:tcBorders>
          </w:tcPr>
          <w:p w:rsidR="00030318" w:rsidRDefault="00030318" w:rsidP="00030318">
            <w:pPr>
              <w:rPr>
                <w:sz w:val="2"/>
                <w:szCs w:val="2"/>
              </w:rPr>
            </w:pPr>
          </w:p>
        </w:tc>
      </w:tr>
      <w:tr w:rsidR="00030318" w:rsidTr="00030318">
        <w:trPr>
          <w:trHeight w:val="230"/>
        </w:trPr>
        <w:tc>
          <w:tcPr>
            <w:tcW w:w="3512" w:type="dxa"/>
          </w:tcPr>
          <w:p w:rsidR="00030318" w:rsidRDefault="00030318" w:rsidP="00030318">
            <w:pPr>
              <w:pStyle w:val="TableParagraph"/>
              <w:spacing w:line="210" w:lineRule="exact"/>
              <w:rPr>
                <w:sz w:val="20"/>
              </w:rPr>
            </w:pPr>
            <w:r>
              <w:rPr>
                <w:sz w:val="20"/>
              </w:rPr>
              <w:t>Listing</w:t>
            </w:r>
          </w:p>
        </w:tc>
        <w:tc>
          <w:tcPr>
            <w:tcW w:w="2809" w:type="dxa"/>
          </w:tcPr>
          <w:p w:rsidR="00030318" w:rsidRDefault="00030318" w:rsidP="00030318">
            <w:pPr>
              <w:pStyle w:val="TableParagraph"/>
              <w:spacing w:line="210" w:lineRule="exact"/>
              <w:ind w:left="105"/>
              <w:rPr>
                <w:sz w:val="20"/>
              </w:rPr>
            </w:pPr>
            <w:r>
              <w:rPr>
                <w:sz w:val="20"/>
              </w:rPr>
              <w:t>Pakistan Stock Exchange</w:t>
            </w:r>
          </w:p>
        </w:tc>
        <w:tc>
          <w:tcPr>
            <w:tcW w:w="2521" w:type="dxa"/>
          </w:tcPr>
          <w:p w:rsidR="00030318" w:rsidRDefault="00030318" w:rsidP="00030318">
            <w:pPr>
              <w:pStyle w:val="TableParagraph"/>
              <w:ind w:left="0"/>
              <w:rPr>
                <w:rFonts w:ascii="Times New Roman"/>
                <w:sz w:val="16"/>
              </w:rPr>
            </w:pPr>
          </w:p>
        </w:tc>
      </w:tr>
      <w:tr w:rsidR="00030318" w:rsidTr="00030318">
        <w:trPr>
          <w:trHeight w:val="460"/>
        </w:trPr>
        <w:tc>
          <w:tcPr>
            <w:tcW w:w="3512" w:type="dxa"/>
          </w:tcPr>
          <w:p w:rsidR="00030318" w:rsidRDefault="00030318" w:rsidP="00030318">
            <w:pPr>
              <w:pStyle w:val="TableParagraph"/>
              <w:spacing w:line="225" w:lineRule="exact"/>
              <w:rPr>
                <w:b/>
                <w:sz w:val="20"/>
              </w:rPr>
            </w:pPr>
            <w:r>
              <w:rPr>
                <w:b/>
                <w:sz w:val="20"/>
              </w:rPr>
              <w:t>Fund Rating:</w:t>
            </w:r>
          </w:p>
          <w:p w:rsidR="00030318" w:rsidRDefault="00030318" w:rsidP="00030318">
            <w:pPr>
              <w:pStyle w:val="TableParagraph"/>
              <w:spacing w:line="215" w:lineRule="exact"/>
              <w:rPr>
                <w:b/>
                <w:sz w:val="20"/>
              </w:rPr>
            </w:pPr>
            <w:r>
              <w:rPr>
                <w:b/>
                <w:sz w:val="20"/>
              </w:rPr>
              <w:t>(Credit Rating Agency: JCR-VIS)</w:t>
            </w:r>
          </w:p>
        </w:tc>
        <w:tc>
          <w:tcPr>
            <w:tcW w:w="2809" w:type="dxa"/>
          </w:tcPr>
          <w:p w:rsidR="00030318" w:rsidRDefault="00030318" w:rsidP="00030318">
            <w:pPr>
              <w:pStyle w:val="TableParagraph"/>
              <w:spacing w:before="112"/>
              <w:ind w:left="105"/>
              <w:rPr>
                <w:sz w:val="20"/>
              </w:rPr>
            </w:pPr>
            <w:r>
              <w:rPr>
                <w:sz w:val="20"/>
              </w:rPr>
              <w:t>A</w:t>
            </w:r>
            <w:r>
              <w:rPr>
                <w:spacing w:val="52"/>
                <w:sz w:val="20"/>
              </w:rPr>
              <w:t xml:space="preserve"> </w:t>
            </w:r>
            <w:r>
              <w:rPr>
                <w:sz w:val="20"/>
              </w:rPr>
              <w:t>(JCR-VIS)</w:t>
            </w:r>
          </w:p>
        </w:tc>
        <w:tc>
          <w:tcPr>
            <w:tcW w:w="2521" w:type="dxa"/>
          </w:tcPr>
          <w:p w:rsidR="00030318" w:rsidRDefault="00030318" w:rsidP="00030318">
            <w:pPr>
              <w:pStyle w:val="TableParagraph"/>
              <w:ind w:left="0"/>
              <w:rPr>
                <w:rFonts w:ascii="Times New Roman"/>
                <w:sz w:val="18"/>
              </w:rPr>
            </w:pPr>
          </w:p>
        </w:tc>
      </w:tr>
      <w:tr w:rsidR="00030318" w:rsidTr="00030318">
        <w:trPr>
          <w:trHeight w:val="230"/>
        </w:trPr>
        <w:tc>
          <w:tcPr>
            <w:tcW w:w="3512" w:type="dxa"/>
          </w:tcPr>
          <w:p w:rsidR="00030318" w:rsidRDefault="00030318" w:rsidP="00030318">
            <w:pPr>
              <w:pStyle w:val="TableParagraph"/>
              <w:spacing w:line="210" w:lineRule="exact"/>
              <w:rPr>
                <w:b/>
                <w:sz w:val="20"/>
              </w:rPr>
            </w:pPr>
            <w:r>
              <w:rPr>
                <w:b/>
                <w:sz w:val="20"/>
              </w:rPr>
              <w:t>Performance:</w:t>
            </w:r>
          </w:p>
        </w:tc>
        <w:tc>
          <w:tcPr>
            <w:tcW w:w="2809" w:type="dxa"/>
          </w:tcPr>
          <w:p w:rsidR="00030318" w:rsidRDefault="00030318" w:rsidP="00030318">
            <w:pPr>
              <w:pStyle w:val="TableParagraph"/>
              <w:spacing w:line="210" w:lineRule="exact"/>
              <w:ind w:left="105"/>
              <w:rPr>
                <w:b/>
                <w:sz w:val="20"/>
              </w:rPr>
            </w:pPr>
            <w:r>
              <w:rPr>
                <w:b/>
                <w:sz w:val="20"/>
              </w:rPr>
              <w:t>Return (p.a.)</w:t>
            </w:r>
          </w:p>
        </w:tc>
        <w:tc>
          <w:tcPr>
            <w:tcW w:w="2521" w:type="dxa"/>
          </w:tcPr>
          <w:p w:rsidR="00030318" w:rsidRDefault="00030318" w:rsidP="00030318">
            <w:pPr>
              <w:pStyle w:val="TableParagraph"/>
              <w:spacing w:line="210" w:lineRule="exact"/>
              <w:ind w:left="104"/>
              <w:rPr>
                <w:b/>
                <w:sz w:val="20"/>
              </w:rPr>
            </w:pPr>
            <w:r>
              <w:rPr>
                <w:b/>
                <w:sz w:val="20"/>
              </w:rPr>
              <w:t>Payout</w:t>
            </w:r>
          </w:p>
        </w:tc>
      </w:tr>
    </w:tbl>
    <w:p w:rsidR="00030318" w:rsidRDefault="00030318" w:rsidP="00030318">
      <w:pPr>
        <w:pStyle w:val="BodyText"/>
        <w:spacing w:before="2"/>
        <w:rPr>
          <w:sz w:val="14"/>
        </w:rPr>
      </w:pPr>
    </w:p>
    <w:tbl>
      <w:tblPr>
        <w:tblW w:w="0" w:type="auto"/>
        <w:tblInd w:w="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2"/>
        <w:gridCol w:w="2809"/>
        <w:gridCol w:w="2521"/>
        <w:gridCol w:w="941"/>
      </w:tblGrid>
      <w:tr w:rsidR="00030318" w:rsidTr="00030318">
        <w:trPr>
          <w:trHeight w:val="228"/>
        </w:trPr>
        <w:tc>
          <w:tcPr>
            <w:tcW w:w="3512" w:type="dxa"/>
            <w:tcBorders>
              <w:left w:val="single" w:sz="4" w:space="0" w:color="000000"/>
              <w:bottom w:val="nil"/>
              <w:right w:val="single" w:sz="4" w:space="0" w:color="000000"/>
            </w:tcBorders>
          </w:tcPr>
          <w:p w:rsidR="00030318" w:rsidRDefault="00030318" w:rsidP="00030318">
            <w:pPr>
              <w:pStyle w:val="TableParagraph"/>
              <w:spacing w:line="208" w:lineRule="exact"/>
              <w:rPr>
                <w:sz w:val="20"/>
              </w:rPr>
            </w:pPr>
            <w:r>
              <w:rPr>
                <w:sz w:val="20"/>
              </w:rPr>
              <w:t>Year ended June 30 2017</w:t>
            </w:r>
          </w:p>
        </w:tc>
        <w:tc>
          <w:tcPr>
            <w:tcW w:w="2809" w:type="dxa"/>
            <w:vMerge w:val="restart"/>
            <w:tcBorders>
              <w:left w:val="single" w:sz="4" w:space="0" w:color="000000"/>
              <w:bottom w:val="single" w:sz="4" w:space="0" w:color="000000"/>
              <w:right w:val="single" w:sz="4" w:space="0" w:color="000000"/>
            </w:tcBorders>
          </w:tcPr>
          <w:p w:rsidR="00030318" w:rsidRDefault="00030318" w:rsidP="00030318">
            <w:pPr>
              <w:pStyle w:val="TableParagraph"/>
              <w:spacing w:before="114"/>
              <w:ind w:left="105"/>
              <w:rPr>
                <w:sz w:val="20"/>
              </w:rPr>
            </w:pPr>
            <w:r>
              <w:rPr>
                <w:sz w:val="20"/>
              </w:rPr>
              <w:t>4.81%8.97%</w:t>
            </w:r>
          </w:p>
          <w:p w:rsidR="00030318" w:rsidRDefault="00030318" w:rsidP="00030318">
            <w:pPr>
              <w:pStyle w:val="TableParagraph"/>
              <w:spacing w:before="1"/>
              <w:ind w:left="105"/>
              <w:rPr>
                <w:sz w:val="20"/>
              </w:rPr>
            </w:pPr>
            <w:r>
              <w:rPr>
                <w:sz w:val="20"/>
              </w:rPr>
              <w:t>15.47%</w:t>
            </w:r>
          </w:p>
          <w:p w:rsidR="00030318" w:rsidRDefault="00030318" w:rsidP="00030318">
            <w:pPr>
              <w:pStyle w:val="TableParagraph"/>
              <w:ind w:left="105"/>
              <w:rPr>
                <w:sz w:val="20"/>
              </w:rPr>
            </w:pPr>
            <w:r>
              <w:rPr>
                <w:sz w:val="20"/>
              </w:rPr>
              <w:t>8.26%</w:t>
            </w:r>
          </w:p>
          <w:p w:rsidR="00030318" w:rsidRDefault="00030318" w:rsidP="00030318">
            <w:pPr>
              <w:pStyle w:val="TableParagraph"/>
              <w:spacing w:before="1" w:line="229" w:lineRule="exact"/>
              <w:ind w:left="105"/>
              <w:rPr>
                <w:sz w:val="20"/>
              </w:rPr>
            </w:pPr>
            <w:r>
              <w:rPr>
                <w:sz w:val="20"/>
              </w:rPr>
              <w:t>9.90%</w:t>
            </w:r>
          </w:p>
          <w:p w:rsidR="00030318" w:rsidRDefault="00030318" w:rsidP="00030318">
            <w:pPr>
              <w:pStyle w:val="TableParagraph"/>
              <w:spacing w:line="229" w:lineRule="exact"/>
              <w:ind w:left="105"/>
              <w:rPr>
                <w:sz w:val="20"/>
              </w:rPr>
            </w:pPr>
            <w:r>
              <w:rPr>
                <w:sz w:val="20"/>
              </w:rPr>
              <w:t>12.12%</w:t>
            </w:r>
          </w:p>
          <w:p w:rsidR="00030318" w:rsidRDefault="00030318" w:rsidP="00030318">
            <w:pPr>
              <w:pStyle w:val="TableParagraph"/>
              <w:ind w:left="105"/>
              <w:rPr>
                <w:sz w:val="20"/>
              </w:rPr>
            </w:pPr>
            <w:r>
              <w:rPr>
                <w:sz w:val="20"/>
              </w:rPr>
              <w:t>16.02%</w:t>
            </w:r>
          </w:p>
        </w:tc>
        <w:tc>
          <w:tcPr>
            <w:tcW w:w="2521" w:type="dxa"/>
            <w:tcBorders>
              <w:left w:val="single" w:sz="4" w:space="0" w:color="000000"/>
              <w:bottom w:val="nil"/>
              <w:right w:val="single" w:sz="4" w:space="0" w:color="000000"/>
            </w:tcBorders>
          </w:tcPr>
          <w:p w:rsidR="00030318" w:rsidRDefault="00030318" w:rsidP="00030318">
            <w:pPr>
              <w:pStyle w:val="TableParagraph"/>
              <w:spacing w:line="208" w:lineRule="exact"/>
              <w:ind w:left="104"/>
              <w:rPr>
                <w:sz w:val="20"/>
              </w:rPr>
            </w:pPr>
            <w:r>
              <w:rPr>
                <w:sz w:val="20"/>
              </w:rPr>
              <w:t>Rs. 4.95 per unit</w:t>
            </w:r>
          </w:p>
        </w:tc>
        <w:tc>
          <w:tcPr>
            <w:tcW w:w="941" w:type="dxa"/>
            <w:vMerge w:val="restart"/>
            <w:tcBorders>
              <w:top w:val="single" w:sz="4" w:space="0" w:color="000000"/>
              <w:left w:val="single" w:sz="4" w:space="0" w:color="000000"/>
              <w:bottom w:val="nil"/>
              <w:right w:val="nil"/>
            </w:tcBorders>
          </w:tcPr>
          <w:p w:rsidR="00030318" w:rsidRDefault="00030318" w:rsidP="00030318">
            <w:pPr>
              <w:pStyle w:val="TableParagraph"/>
              <w:ind w:left="0"/>
              <w:rPr>
                <w:rFonts w:ascii="Times New Roman"/>
                <w:sz w:val="18"/>
              </w:rPr>
            </w:pPr>
          </w:p>
        </w:tc>
      </w:tr>
      <w:tr w:rsidR="00030318" w:rsidTr="00030318">
        <w:trPr>
          <w:trHeight w:val="220"/>
        </w:trPr>
        <w:tc>
          <w:tcPr>
            <w:tcW w:w="3512" w:type="dxa"/>
            <w:tcBorders>
              <w:top w:val="nil"/>
              <w:left w:val="single" w:sz="4" w:space="0" w:color="000000"/>
              <w:bottom w:val="nil"/>
              <w:right w:val="single" w:sz="4" w:space="0" w:color="000000"/>
            </w:tcBorders>
          </w:tcPr>
          <w:p w:rsidR="00030318" w:rsidRDefault="00030318" w:rsidP="00030318">
            <w:pPr>
              <w:pStyle w:val="TableParagraph"/>
              <w:spacing w:line="201" w:lineRule="exact"/>
              <w:rPr>
                <w:sz w:val="20"/>
              </w:rPr>
            </w:pPr>
            <w:r>
              <w:rPr>
                <w:sz w:val="20"/>
              </w:rPr>
              <w:t>Year ended June 30 2016</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01" w:lineRule="exact"/>
              <w:ind w:left="104"/>
              <w:rPr>
                <w:sz w:val="20"/>
              </w:rPr>
            </w:pPr>
            <w:r>
              <w:rPr>
                <w:sz w:val="20"/>
              </w:rPr>
              <w:t>Rs. 8.10 per unit</w:t>
            </w:r>
          </w:p>
        </w:tc>
        <w:tc>
          <w:tcPr>
            <w:tcW w:w="941"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512" w:type="dxa"/>
            <w:tcBorders>
              <w:top w:val="nil"/>
              <w:left w:val="single" w:sz="4" w:space="0" w:color="000000"/>
              <w:bottom w:val="nil"/>
              <w:right w:val="single" w:sz="4" w:space="0" w:color="000000"/>
            </w:tcBorders>
          </w:tcPr>
          <w:p w:rsidR="00030318" w:rsidRDefault="00030318" w:rsidP="00030318">
            <w:pPr>
              <w:pStyle w:val="TableParagraph"/>
              <w:spacing w:line="201" w:lineRule="exact"/>
              <w:rPr>
                <w:sz w:val="20"/>
              </w:rPr>
            </w:pPr>
            <w:r>
              <w:rPr>
                <w:sz w:val="20"/>
              </w:rPr>
              <w:t>Year ended June 30 2015</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01" w:lineRule="exact"/>
              <w:ind w:left="104"/>
              <w:rPr>
                <w:sz w:val="20"/>
              </w:rPr>
            </w:pPr>
            <w:r>
              <w:rPr>
                <w:sz w:val="20"/>
              </w:rPr>
              <w:t>Rs. 8.86 per unit</w:t>
            </w:r>
          </w:p>
        </w:tc>
        <w:tc>
          <w:tcPr>
            <w:tcW w:w="941"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19"/>
        </w:trPr>
        <w:tc>
          <w:tcPr>
            <w:tcW w:w="3512"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Year ended June 30 2014</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199" w:lineRule="exact"/>
              <w:ind w:left="104"/>
              <w:rPr>
                <w:sz w:val="20"/>
              </w:rPr>
            </w:pPr>
            <w:r>
              <w:rPr>
                <w:sz w:val="20"/>
              </w:rPr>
              <w:t>Rs. 7.73 per unit</w:t>
            </w:r>
          </w:p>
        </w:tc>
        <w:tc>
          <w:tcPr>
            <w:tcW w:w="941"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19"/>
        </w:trPr>
        <w:tc>
          <w:tcPr>
            <w:tcW w:w="3512" w:type="dxa"/>
            <w:tcBorders>
              <w:top w:val="nil"/>
              <w:left w:val="single" w:sz="4" w:space="0" w:color="000000"/>
              <w:bottom w:val="nil"/>
              <w:right w:val="single" w:sz="4" w:space="0" w:color="000000"/>
            </w:tcBorders>
          </w:tcPr>
          <w:p w:rsidR="00030318" w:rsidRDefault="00030318" w:rsidP="00030318">
            <w:pPr>
              <w:pStyle w:val="TableParagraph"/>
              <w:spacing w:line="199" w:lineRule="exact"/>
              <w:rPr>
                <w:sz w:val="20"/>
              </w:rPr>
            </w:pPr>
            <w:r>
              <w:rPr>
                <w:sz w:val="20"/>
              </w:rPr>
              <w:t>Year ended 30 June 2013</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199" w:lineRule="exact"/>
              <w:ind w:left="104"/>
              <w:rPr>
                <w:sz w:val="20"/>
              </w:rPr>
            </w:pPr>
            <w:r>
              <w:rPr>
                <w:sz w:val="20"/>
              </w:rPr>
              <w:t>Rs. 9.25 per unit</w:t>
            </w:r>
          </w:p>
        </w:tc>
        <w:tc>
          <w:tcPr>
            <w:tcW w:w="941"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0"/>
        </w:trPr>
        <w:tc>
          <w:tcPr>
            <w:tcW w:w="3512" w:type="dxa"/>
            <w:tcBorders>
              <w:top w:val="nil"/>
              <w:left w:val="single" w:sz="4" w:space="0" w:color="000000"/>
              <w:bottom w:val="nil"/>
              <w:right w:val="single" w:sz="4" w:space="0" w:color="000000"/>
            </w:tcBorders>
          </w:tcPr>
          <w:p w:rsidR="00030318" w:rsidRDefault="00030318" w:rsidP="00030318">
            <w:pPr>
              <w:pStyle w:val="TableParagraph"/>
              <w:spacing w:line="200" w:lineRule="exact"/>
              <w:rPr>
                <w:sz w:val="20"/>
              </w:rPr>
            </w:pPr>
            <w:r>
              <w:rPr>
                <w:sz w:val="20"/>
              </w:rPr>
              <w:t>Year ended 30 June, 2012</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tcBorders>
              <w:top w:val="nil"/>
              <w:left w:val="single" w:sz="4" w:space="0" w:color="000000"/>
              <w:bottom w:val="nil"/>
              <w:right w:val="single" w:sz="4" w:space="0" w:color="000000"/>
            </w:tcBorders>
          </w:tcPr>
          <w:p w:rsidR="00030318" w:rsidRDefault="00030318" w:rsidP="00030318">
            <w:pPr>
              <w:pStyle w:val="TableParagraph"/>
              <w:spacing w:line="200" w:lineRule="exact"/>
              <w:ind w:left="104"/>
              <w:rPr>
                <w:sz w:val="20"/>
              </w:rPr>
            </w:pPr>
            <w:r>
              <w:rPr>
                <w:sz w:val="20"/>
              </w:rPr>
              <w:t>Rs. 7.97 per unit</w:t>
            </w:r>
          </w:p>
        </w:tc>
        <w:tc>
          <w:tcPr>
            <w:tcW w:w="941" w:type="dxa"/>
            <w:vMerge/>
            <w:tcBorders>
              <w:top w:val="nil"/>
              <w:left w:val="single" w:sz="4" w:space="0" w:color="000000"/>
              <w:bottom w:val="nil"/>
              <w:right w:val="nil"/>
            </w:tcBorders>
          </w:tcPr>
          <w:p w:rsidR="00030318" w:rsidRDefault="00030318" w:rsidP="00030318">
            <w:pPr>
              <w:rPr>
                <w:sz w:val="2"/>
                <w:szCs w:val="2"/>
              </w:rPr>
            </w:pPr>
          </w:p>
        </w:tc>
      </w:tr>
      <w:tr w:rsidR="00030318" w:rsidTr="00030318">
        <w:trPr>
          <w:trHeight w:val="224"/>
        </w:trPr>
        <w:tc>
          <w:tcPr>
            <w:tcW w:w="3512"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05" w:lineRule="exact"/>
              <w:rPr>
                <w:sz w:val="20"/>
              </w:rPr>
            </w:pPr>
            <w:r>
              <w:rPr>
                <w:sz w:val="20"/>
              </w:rPr>
              <w:t>Since Inception till 30 Aug 2011</w:t>
            </w:r>
          </w:p>
        </w:tc>
        <w:tc>
          <w:tcPr>
            <w:tcW w:w="2809" w:type="dxa"/>
            <w:vMerge/>
            <w:tcBorders>
              <w:top w:val="nil"/>
              <w:left w:val="single" w:sz="4" w:space="0" w:color="000000"/>
              <w:bottom w:val="single" w:sz="4" w:space="0" w:color="000000"/>
              <w:right w:val="single" w:sz="4" w:space="0" w:color="000000"/>
            </w:tcBorders>
          </w:tcPr>
          <w:p w:rsidR="00030318" w:rsidRDefault="00030318" w:rsidP="00030318">
            <w:pPr>
              <w:rPr>
                <w:sz w:val="2"/>
                <w:szCs w:val="2"/>
              </w:rPr>
            </w:pPr>
          </w:p>
        </w:tc>
        <w:tc>
          <w:tcPr>
            <w:tcW w:w="2521" w:type="dxa"/>
            <w:tcBorders>
              <w:top w:val="nil"/>
              <w:left w:val="single" w:sz="4" w:space="0" w:color="000000"/>
              <w:bottom w:val="single" w:sz="4" w:space="0" w:color="000000"/>
              <w:right w:val="single" w:sz="4" w:space="0" w:color="000000"/>
            </w:tcBorders>
          </w:tcPr>
          <w:p w:rsidR="00030318" w:rsidRDefault="00030318" w:rsidP="00030318">
            <w:pPr>
              <w:pStyle w:val="TableParagraph"/>
              <w:spacing w:line="205" w:lineRule="exact"/>
              <w:ind w:left="104"/>
              <w:rPr>
                <w:sz w:val="20"/>
              </w:rPr>
            </w:pPr>
            <w:r>
              <w:rPr>
                <w:sz w:val="20"/>
              </w:rPr>
              <w:t>N/A</w:t>
            </w:r>
          </w:p>
        </w:tc>
        <w:tc>
          <w:tcPr>
            <w:tcW w:w="941" w:type="dxa"/>
            <w:vMerge/>
            <w:tcBorders>
              <w:top w:val="nil"/>
              <w:left w:val="single" w:sz="4" w:space="0" w:color="000000"/>
              <w:bottom w:val="nil"/>
              <w:right w:val="nil"/>
            </w:tcBorders>
          </w:tcPr>
          <w:p w:rsidR="00030318" w:rsidRDefault="00030318" w:rsidP="00030318">
            <w:pPr>
              <w:rPr>
                <w:sz w:val="2"/>
                <w:szCs w:val="2"/>
              </w:rPr>
            </w:pPr>
          </w:p>
        </w:tc>
      </w:tr>
    </w:tbl>
    <w:p w:rsidR="00030318" w:rsidRDefault="00030318" w:rsidP="00030318">
      <w:pPr>
        <w:pStyle w:val="BodyText"/>
      </w:pPr>
    </w:p>
    <w:p w:rsidR="00030318" w:rsidRDefault="00030318" w:rsidP="00030318">
      <w:pPr>
        <w:pStyle w:val="BodyText"/>
        <w:spacing w:before="7"/>
      </w:pPr>
    </w:p>
    <w:p w:rsidR="00030318" w:rsidRDefault="00030318" w:rsidP="00030318">
      <w:pPr>
        <w:pStyle w:val="Heading5"/>
        <w:ind w:left="621"/>
      </w:pPr>
      <w:r>
        <w:t>UNITED GROWTH &amp; INCOME FUND (UGIF)</w:t>
      </w:r>
    </w:p>
    <w:p w:rsidR="00030318" w:rsidRDefault="00030318" w:rsidP="00030318">
      <w:pPr>
        <w:pStyle w:val="BodyText"/>
        <w:rPr>
          <w:b/>
        </w:rPr>
      </w:pPr>
    </w:p>
    <w:p w:rsidR="00030318" w:rsidRDefault="00030318" w:rsidP="00030318">
      <w:pPr>
        <w:pStyle w:val="BodyText"/>
        <w:spacing w:before="1"/>
        <w:ind w:left="621" w:right="911"/>
        <w:jc w:val="both"/>
      </w:pPr>
      <w:r>
        <w:t>UGIF is an open-end aggressive income fund which was publicly launched in March 2006. It invests in fixed income instruments like PIB’s, T-Bills, Term Finance Certificates and other medium to long term fixed income securities. UGIF has two classes of units: Income &amp;</w:t>
      </w:r>
      <w:r>
        <w:rPr>
          <w:spacing w:val="-11"/>
        </w:rPr>
        <w:t xml:space="preserve"> </w:t>
      </w:r>
      <w:r>
        <w:t>Growth.</w:t>
      </w:r>
    </w:p>
    <w:p w:rsidR="00030318" w:rsidRDefault="00030318" w:rsidP="00030318">
      <w:pPr>
        <w:pStyle w:val="BodyText"/>
        <w:spacing w:before="4"/>
      </w:pPr>
    </w:p>
    <w:p w:rsidR="00030318" w:rsidRDefault="00030318" w:rsidP="00030318">
      <w:pPr>
        <w:pStyle w:val="BodyText"/>
        <w:ind w:left="621" w:right="905"/>
        <w:jc w:val="both"/>
      </w:pPr>
      <w:r>
        <w:t>The investment objective of UGIF is to invest in medium to long</w:t>
      </w:r>
      <w:r>
        <w:rPr>
          <w:rFonts w:ascii="Cambria Math" w:hAnsi="Cambria Math"/>
        </w:rPr>
        <w:t>‐</w:t>
      </w:r>
      <w:r>
        <w:t xml:space="preserve">term fixed income </w:t>
      </w:r>
      <w:proofErr w:type="gramStart"/>
      <w:r>
        <w:t>instruments  as</w:t>
      </w:r>
      <w:proofErr w:type="gramEnd"/>
      <w:r>
        <w:t xml:space="preserve"> well as short</w:t>
      </w:r>
      <w:r>
        <w:rPr>
          <w:rFonts w:ascii="Cambria Math" w:hAnsi="Cambria Math"/>
        </w:rPr>
        <w:t>‐</w:t>
      </w:r>
      <w:r>
        <w:t>tenor money market instruments and seeks to generate superior, long</w:t>
      </w:r>
      <w:r>
        <w:rPr>
          <w:rFonts w:ascii="Cambria Math" w:hAnsi="Cambria Math"/>
        </w:rPr>
        <w:t>‐</w:t>
      </w:r>
      <w:r>
        <w:t>term, risk</w:t>
      </w:r>
      <w:r>
        <w:rPr>
          <w:rFonts w:ascii="Cambria Math" w:hAnsi="Cambria Math"/>
        </w:rPr>
        <w:t xml:space="preserve">‐ </w:t>
      </w:r>
      <w:r>
        <w:t>adjusted returns while preserving capital over the</w:t>
      </w:r>
      <w:r>
        <w:rPr>
          <w:spacing w:val="-2"/>
        </w:rPr>
        <w:t xml:space="preserve"> </w:t>
      </w:r>
      <w:r>
        <w:t>long</w:t>
      </w:r>
      <w:r>
        <w:rPr>
          <w:rFonts w:ascii="Cambria Math" w:hAnsi="Cambria Math"/>
        </w:rPr>
        <w:t>‐</w:t>
      </w:r>
      <w:r>
        <w:t>term.</w:t>
      </w:r>
    </w:p>
    <w:p w:rsidR="00030318" w:rsidRDefault="00030318" w:rsidP="00030318">
      <w:pPr>
        <w:pStyle w:val="BodyText"/>
      </w:pPr>
    </w:p>
    <w:p w:rsidR="00030318" w:rsidRDefault="00030318" w:rsidP="00030318">
      <w:pPr>
        <w:pStyle w:val="BodyText"/>
        <w:spacing w:before="10"/>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34"/>
        <w:gridCol w:w="1322"/>
        <w:gridCol w:w="674"/>
        <w:gridCol w:w="2252"/>
      </w:tblGrid>
      <w:tr w:rsidR="00030318" w:rsidTr="00030318">
        <w:trPr>
          <w:trHeight w:val="230"/>
        </w:trPr>
        <w:tc>
          <w:tcPr>
            <w:tcW w:w="3872" w:type="dxa"/>
          </w:tcPr>
          <w:p w:rsidR="00030318" w:rsidRDefault="00030318" w:rsidP="00030318">
            <w:pPr>
              <w:pStyle w:val="TableParagraph"/>
              <w:spacing w:line="210" w:lineRule="exact"/>
              <w:rPr>
                <w:sz w:val="20"/>
              </w:rPr>
            </w:pPr>
            <w:r>
              <w:rPr>
                <w:sz w:val="20"/>
              </w:rPr>
              <w:t>Date of launching</w:t>
            </w:r>
          </w:p>
        </w:tc>
        <w:tc>
          <w:tcPr>
            <w:tcW w:w="2430" w:type="dxa"/>
            <w:gridSpan w:val="3"/>
          </w:tcPr>
          <w:p w:rsidR="00030318" w:rsidRDefault="00030318" w:rsidP="00030318">
            <w:pPr>
              <w:pStyle w:val="TableParagraph"/>
              <w:spacing w:line="210" w:lineRule="exact"/>
              <w:ind w:left="105"/>
              <w:rPr>
                <w:sz w:val="20"/>
              </w:rPr>
            </w:pPr>
            <w:r>
              <w:rPr>
                <w:sz w:val="20"/>
              </w:rPr>
              <w:t>2 March 2006</w:t>
            </w:r>
          </w:p>
        </w:tc>
        <w:tc>
          <w:tcPr>
            <w:tcW w:w="2252" w:type="dxa"/>
          </w:tcPr>
          <w:p w:rsidR="00030318" w:rsidRDefault="00030318" w:rsidP="00030318">
            <w:pPr>
              <w:pStyle w:val="TableParagraph"/>
              <w:ind w:left="0"/>
              <w:rPr>
                <w:rFonts w:ascii="Times New Roman"/>
                <w:sz w:val="16"/>
              </w:rPr>
            </w:pP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Par Value of units</w:t>
            </w:r>
          </w:p>
        </w:tc>
        <w:tc>
          <w:tcPr>
            <w:tcW w:w="434" w:type="dxa"/>
            <w:tcBorders>
              <w:right w:val="nil"/>
            </w:tcBorders>
          </w:tcPr>
          <w:p w:rsidR="00030318" w:rsidRDefault="00030318" w:rsidP="00030318">
            <w:pPr>
              <w:pStyle w:val="TableParagraph"/>
              <w:spacing w:line="210" w:lineRule="exact"/>
              <w:ind w:left="0" w:right="21"/>
              <w:jc w:val="right"/>
              <w:rPr>
                <w:sz w:val="20"/>
              </w:rPr>
            </w:pPr>
            <w:r>
              <w:rPr>
                <w:w w:val="95"/>
                <w:sz w:val="20"/>
              </w:rPr>
              <w:t>Rs.</w:t>
            </w:r>
          </w:p>
        </w:tc>
        <w:tc>
          <w:tcPr>
            <w:tcW w:w="1996" w:type="dxa"/>
            <w:gridSpan w:val="2"/>
            <w:tcBorders>
              <w:left w:val="nil"/>
            </w:tcBorders>
          </w:tcPr>
          <w:p w:rsidR="00030318" w:rsidRDefault="00030318" w:rsidP="00030318">
            <w:pPr>
              <w:pStyle w:val="TableParagraph"/>
              <w:spacing w:line="210" w:lineRule="exact"/>
              <w:ind w:left="31"/>
              <w:rPr>
                <w:sz w:val="20"/>
              </w:rPr>
            </w:pPr>
            <w:r>
              <w:rPr>
                <w:sz w:val="20"/>
              </w:rPr>
              <w:t>100</w:t>
            </w:r>
          </w:p>
        </w:tc>
        <w:tc>
          <w:tcPr>
            <w:tcW w:w="2252" w:type="dxa"/>
          </w:tcPr>
          <w:p w:rsidR="00030318" w:rsidRDefault="00030318" w:rsidP="00030318">
            <w:pPr>
              <w:pStyle w:val="TableParagraph"/>
              <w:ind w:left="0"/>
              <w:rPr>
                <w:rFonts w:ascii="Times New Roman"/>
                <w:sz w:val="16"/>
              </w:rPr>
            </w:pPr>
          </w:p>
        </w:tc>
      </w:tr>
      <w:tr w:rsidR="00030318" w:rsidTr="00030318">
        <w:trPr>
          <w:trHeight w:val="226"/>
        </w:trPr>
        <w:tc>
          <w:tcPr>
            <w:tcW w:w="3872" w:type="dxa"/>
            <w:tcBorders>
              <w:bottom w:val="nil"/>
            </w:tcBorders>
          </w:tcPr>
          <w:p w:rsidR="00030318" w:rsidRDefault="00030318" w:rsidP="00030318">
            <w:pPr>
              <w:pStyle w:val="TableParagraph"/>
              <w:spacing w:line="207" w:lineRule="exact"/>
              <w:rPr>
                <w:sz w:val="20"/>
              </w:rPr>
            </w:pPr>
            <w:r w:rsidRPr="00E65CA8">
              <w:rPr>
                <w:sz w:val="20"/>
              </w:rPr>
              <w:lastRenderedPageBreak/>
              <w:t>Net Assets (as at Feb 19 2019)</w:t>
            </w:r>
          </w:p>
        </w:tc>
        <w:tc>
          <w:tcPr>
            <w:tcW w:w="2430" w:type="dxa"/>
            <w:gridSpan w:val="3"/>
            <w:tcBorders>
              <w:bottom w:val="nil"/>
            </w:tcBorders>
          </w:tcPr>
          <w:p w:rsidR="00030318" w:rsidRDefault="00030318" w:rsidP="00030318">
            <w:pPr>
              <w:pStyle w:val="TableParagraph"/>
              <w:spacing w:line="207" w:lineRule="exact"/>
              <w:ind w:left="105"/>
              <w:rPr>
                <w:sz w:val="20"/>
              </w:rPr>
            </w:pPr>
            <w:r>
              <w:rPr>
                <w:sz w:val="20"/>
              </w:rPr>
              <w:t>Rs. 1,189 million</w:t>
            </w:r>
          </w:p>
        </w:tc>
        <w:tc>
          <w:tcPr>
            <w:tcW w:w="2252" w:type="dxa"/>
          </w:tcPr>
          <w:p w:rsidR="00030318" w:rsidRDefault="00030318" w:rsidP="00030318">
            <w:pPr>
              <w:pStyle w:val="TableParagraph"/>
              <w:ind w:left="0"/>
              <w:rPr>
                <w:rFonts w:ascii="Times New Roman"/>
                <w:sz w:val="18"/>
              </w:rPr>
            </w:pPr>
          </w:p>
        </w:tc>
      </w:tr>
      <w:tr w:rsidR="00030318" w:rsidTr="00030318">
        <w:trPr>
          <w:trHeight w:val="226"/>
        </w:trPr>
        <w:tc>
          <w:tcPr>
            <w:tcW w:w="3872" w:type="dxa"/>
            <w:tcBorders>
              <w:bottom w:val="nil"/>
            </w:tcBorders>
          </w:tcPr>
          <w:p w:rsidR="00030318" w:rsidRDefault="00030318" w:rsidP="00030318">
            <w:pPr>
              <w:pStyle w:val="TableParagraph"/>
              <w:spacing w:line="207" w:lineRule="exact"/>
              <w:rPr>
                <w:sz w:val="20"/>
              </w:rPr>
            </w:pPr>
            <w:r>
              <w:rPr>
                <w:sz w:val="20"/>
              </w:rPr>
              <w:t>Net Assets (as at June 30 2018)</w:t>
            </w:r>
          </w:p>
        </w:tc>
        <w:tc>
          <w:tcPr>
            <w:tcW w:w="2430" w:type="dxa"/>
            <w:gridSpan w:val="3"/>
            <w:tcBorders>
              <w:bottom w:val="nil"/>
            </w:tcBorders>
          </w:tcPr>
          <w:p w:rsidR="00030318" w:rsidRDefault="00030318" w:rsidP="00030318">
            <w:pPr>
              <w:pStyle w:val="TableParagraph"/>
              <w:spacing w:line="207" w:lineRule="exact"/>
              <w:ind w:left="105"/>
              <w:rPr>
                <w:sz w:val="20"/>
              </w:rPr>
            </w:pPr>
            <w:r>
              <w:rPr>
                <w:sz w:val="20"/>
              </w:rPr>
              <w:t>Rs. 1.3Bn</w:t>
            </w:r>
          </w:p>
        </w:tc>
        <w:tc>
          <w:tcPr>
            <w:tcW w:w="2252" w:type="dxa"/>
          </w:tcPr>
          <w:p w:rsidR="00030318" w:rsidRDefault="00030318" w:rsidP="00030318">
            <w:pPr>
              <w:pStyle w:val="TableParagraph"/>
              <w:ind w:left="0"/>
              <w:rPr>
                <w:rFonts w:ascii="Times New Roman"/>
                <w:sz w:val="18"/>
              </w:rPr>
            </w:pPr>
          </w:p>
        </w:tc>
      </w:tr>
      <w:tr w:rsidR="00030318" w:rsidTr="00030318">
        <w:trPr>
          <w:trHeight w:val="226"/>
        </w:trPr>
        <w:tc>
          <w:tcPr>
            <w:tcW w:w="3872" w:type="dxa"/>
            <w:tcBorders>
              <w:bottom w:val="nil"/>
            </w:tcBorders>
          </w:tcPr>
          <w:p w:rsidR="00030318" w:rsidRDefault="00030318" w:rsidP="00030318">
            <w:pPr>
              <w:pStyle w:val="TableParagraph"/>
              <w:spacing w:line="207" w:lineRule="exact"/>
              <w:rPr>
                <w:sz w:val="20"/>
              </w:rPr>
            </w:pPr>
            <w:r>
              <w:rPr>
                <w:sz w:val="20"/>
              </w:rPr>
              <w:t>Net Assets (as at June 30 2017)</w:t>
            </w:r>
          </w:p>
        </w:tc>
        <w:tc>
          <w:tcPr>
            <w:tcW w:w="2430" w:type="dxa"/>
            <w:gridSpan w:val="3"/>
            <w:tcBorders>
              <w:bottom w:val="nil"/>
            </w:tcBorders>
          </w:tcPr>
          <w:p w:rsidR="00030318" w:rsidRDefault="00030318" w:rsidP="00030318">
            <w:pPr>
              <w:pStyle w:val="TableParagraph"/>
              <w:spacing w:line="207" w:lineRule="exact"/>
              <w:ind w:left="105"/>
              <w:rPr>
                <w:sz w:val="20"/>
              </w:rPr>
            </w:pPr>
            <w:r>
              <w:rPr>
                <w:sz w:val="20"/>
              </w:rPr>
              <w:t>Rs. 5,707 Million</w:t>
            </w:r>
          </w:p>
        </w:tc>
        <w:tc>
          <w:tcPr>
            <w:tcW w:w="2252" w:type="dxa"/>
            <w:vMerge w:val="restart"/>
          </w:tcPr>
          <w:p w:rsidR="00030318" w:rsidRDefault="00030318" w:rsidP="00030318">
            <w:pPr>
              <w:pStyle w:val="TableParagraph"/>
              <w:ind w:left="0"/>
              <w:rPr>
                <w:rFonts w:ascii="Times New Roman"/>
                <w:sz w:val="18"/>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Net Assets (as at June 30 2016)</w:t>
            </w:r>
          </w:p>
        </w:tc>
        <w:tc>
          <w:tcPr>
            <w:tcW w:w="2430" w:type="dxa"/>
            <w:gridSpan w:val="3"/>
            <w:tcBorders>
              <w:top w:val="nil"/>
              <w:bottom w:val="nil"/>
            </w:tcBorders>
          </w:tcPr>
          <w:p w:rsidR="00030318" w:rsidRDefault="00030318" w:rsidP="00030318">
            <w:pPr>
              <w:pStyle w:val="TableParagraph"/>
              <w:spacing w:line="199" w:lineRule="exact"/>
              <w:ind w:left="105"/>
              <w:rPr>
                <w:sz w:val="20"/>
              </w:rPr>
            </w:pPr>
            <w:r>
              <w:rPr>
                <w:sz w:val="20"/>
              </w:rPr>
              <w:t>Rs. 1,701 Million</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Net Assets (as at June 30 2015)</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3,384 Million</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Net Assets (as at June 30 2014)</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3,592 Million</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Net Assets (as at 30 June 2013)</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3,067 Million</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1" w:lineRule="exact"/>
              <w:rPr>
                <w:sz w:val="20"/>
              </w:rPr>
            </w:pPr>
            <w:r>
              <w:rPr>
                <w:sz w:val="20"/>
              </w:rPr>
              <w:t>Net Assets (as at 30 June 2012)</w:t>
            </w:r>
          </w:p>
        </w:tc>
        <w:tc>
          <w:tcPr>
            <w:tcW w:w="2430" w:type="dxa"/>
            <w:gridSpan w:val="3"/>
            <w:tcBorders>
              <w:top w:val="nil"/>
              <w:bottom w:val="nil"/>
            </w:tcBorders>
          </w:tcPr>
          <w:p w:rsidR="00030318" w:rsidRDefault="00030318" w:rsidP="00030318">
            <w:pPr>
              <w:pStyle w:val="TableParagraph"/>
              <w:spacing w:line="201" w:lineRule="exact"/>
              <w:ind w:left="105"/>
              <w:rPr>
                <w:sz w:val="20"/>
              </w:rPr>
            </w:pPr>
            <w:r>
              <w:rPr>
                <w:sz w:val="20"/>
              </w:rPr>
              <w:t>Rs. 2,805 Million</w:t>
            </w:r>
          </w:p>
        </w:tc>
        <w:tc>
          <w:tcPr>
            <w:tcW w:w="2252" w:type="dxa"/>
            <w:vMerge/>
            <w:tcBorders>
              <w:top w:val="nil"/>
            </w:tcBorders>
          </w:tcPr>
          <w:p w:rsidR="00030318" w:rsidRDefault="00030318" w:rsidP="00030318">
            <w:pPr>
              <w:rPr>
                <w:sz w:val="2"/>
                <w:szCs w:val="2"/>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Net Assets (as at 30 June 2011)</w:t>
            </w:r>
          </w:p>
        </w:tc>
        <w:tc>
          <w:tcPr>
            <w:tcW w:w="2430" w:type="dxa"/>
            <w:gridSpan w:val="3"/>
            <w:tcBorders>
              <w:top w:val="nil"/>
              <w:bottom w:val="nil"/>
            </w:tcBorders>
          </w:tcPr>
          <w:p w:rsidR="00030318" w:rsidRDefault="00030318" w:rsidP="00030318">
            <w:pPr>
              <w:pStyle w:val="TableParagraph"/>
              <w:spacing w:line="199" w:lineRule="exact"/>
              <w:ind w:left="105"/>
              <w:rPr>
                <w:sz w:val="20"/>
              </w:rPr>
            </w:pPr>
            <w:r>
              <w:rPr>
                <w:sz w:val="20"/>
              </w:rPr>
              <w:t>Rs. 8,231 Million</w:t>
            </w:r>
          </w:p>
        </w:tc>
        <w:tc>
          <w:tcPr>
            <w:tcW w:w="2252" w:type="dxa"/>
            <w:vMerge/>
            <w:tcBorders>
              <w:top w:val="nil"/>
            </w:tcBorders>
          </w:tcPr>
          <w:p w:rsidR="00030318" w:rsidRDefault="00030318" w:rsidP="00030318">
            <w:pPr>
              <w:rPr>
                <w:sz w:val="2"/>
                <w:szCs w:val="2"/>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Net Assets (as at 30 June 2010)</w:t>
            </w:r>
          </w:p>
        </w:tc>
        <w:tc>
          <w:tcPr>
            <w:tcW w:w="2430" w:type="dxa"/>
            <w:gridSpan w:val="3"/>
            <w:tcBorders>
              <w:top w:val="nil"/>
              <w:bottom w:val="nil"/>
            </w:tcBorders>
          </w:tcPr>
          <w:p w:rsidR="00030318" w:rsidRDefault="00030318" w:rsidP="00030318">
            <w:pPr>
              <w:pStyle w:val="TableParagraph"/>
              <w:spacing w:line="199" w:lineRule="exact"/>
              <w:ind w:left="105"/>
              <w:rPr>
                <w:sz w:val="20"/>
              </w:rPr>
            </w:pPr>
            <w:r>
              <w:rPr>
                <w:sz w:val="20"/>
              </w:rPr>
              <w:t>Rs. 15,859 Million</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Net Assets (as at 30 June 2009)</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14,626 Million</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Net Assets (as at 30 June 2008)</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11,479 Million</w:t>
            </w:r>
          </w:p>
        </w:tc>
        <w:tc>
          <w:tcPr>
            <w:tcW w:w="2252" w:type="dxa"/>
            <w:vMerge/>
            <w:tcBorders>
              <w:top w:val="nil"/>
            </w:tcBorders>
          </w:tcPr>
          <w:p w:rsidR="00030318" w:rsidRDefault="00030318" w:rsidP="00030318">
            <w:pPr>
              <w:rPr>
                <w:sz w:val="2"/>
                <w:szCs w:val="2"/>
              </w:rPr>
            </w:pPr>
          </w:p>
        </w:tc>
      </w:tr>
      <w:tr w:rsidR="00030318" w:rsidTr="00030318">
        <w:trPr>
          <w:trHeight w:val="224"/>
        </w:trPr>
        <w:tc>
          <w:tcPr>
            <w:tcW w:w="3872" w:type="dxa"/>
            <w:tcBorders>
              <w:top w:val="nil"/>
            </w:tcBorders>
          </w:tcPr>
          <w:p w:rsidR="00030318" w:rsidRDefault="00030318" w:rsidP="00030318">
            <w:pPr>
              <w:pStyle w:val="TableParagraph"/>
              <w:spacing w:line="205" w:lineRule="exact"/>
              <w:rPr>
                <w:sz w:val="20"/>
              </w:rPr>
            </w:pPr>
            <w:r>
              <w:rPr>
                <w:sz w:val="20"/>
              </w:rPr>
              <w:t>Net Assets (as at 30 June 2007)</w:t>
            </w:r>
          </w:p>
        </w:tc>
        <w:tc>
          <w:tcPr>
            <w:tcW w:w="2430" w:type="dxa"/>
            <w:gridSpan w:val="3"/>
            <w:tcBorders>
              <w:top w:val="nil"/>
            </w:tcBorders>
          </w:tcPr>
          <w:p w:rsidR="00030318" w:rsidRDefault="00030318" w:rsidP="00030318">
            <w:pPr>
              <w:pStyle w:val="TableParagraph"/>
              <w:spacing w:line="205" w:lineRule="exact"/>
              <w:ind w:left="105"/>
              <w:rPr>
                <w:sz w:val="20"/>
              </w:rPr>
            </w:pPr>
            <w:r>
              <w:rPr>
                <w:sz w:val="20"/>
              </w:rPr>
              <w:t>Rs.1, 303 Million</w:t>
            </w:r>
          </w:p>
        </w:tc>
        <w:tc>
          <w:tcPr>
            <w:tcW w:w="2252" w:type="dxa"/>
            <w:vMerge/>
            <w:tcBorders>
              <w:top w:val="nil"/>
            </w:tcBorders>
          </w:tcPr>
          <w:p w:rsidR="00030318" w:rsidRDefault="00030318" w:rsidP="00030318">
            <w:pPr>
              <w:rPr>
                <w:sz w:val="2"/>
                <w:szCs w:val="2"/>
              </w:rPr>
            </w:pPr>
          </w:p>
        </w:tc>
      </w:tr>
      <w:tr w:rsidR="00030318" w:rsidTr="00030318">
        <w:trPr>
          <w:trHeight w:val="225"/>
        </w:trPr>
        <w:tc>
          <w:tcPr>
            <w:tcW w:w="3872" w:type="dxa"/>
            <w:tcBorders>
              <w:bottom w:val="nil"/>
            </w:tcBorders>
          </w:tcPr>
          <w:p w:rsidR="00030318" w:rsidRDefault="00030318" w:rsidP="00030318">
            <w:pPr>
              <w:pStyle w:val="TableParagraph"/>
              <w:spacing w:line="206" w:lineRule="exact"/>
              <w:rPr>
                <w:sz w:val="20"/>
              </w:rPr>
            </w:pPr>
            <w:r w:rsidRPr="00E65CA8">
              <w:rPr>
                <w:sz w:val="20"/>
              </w:rPr>
              <w:t>NAV (as at Feb 19, 2019)</w:t>
            </w:r>
          </w:p>
        </w:tc>
        <w:tc>
          <w:tcPr>
            <w:tcW w:w="2430" w:type="dxa"/>
            <w:gridSpan w:val="3"/>
            <w:tcBorders>
              <w:bottom w:val="nil"/>
            </w:tcBorders>
          </w:tcPr>
          <w:p w:rsidR="00030318" w:rsidRDefault="00030318" w:rsidP="00030318">
            <w:pPr>
              <w:pStyle w:val="TableParagraph"/>
              <w:spacing w:line="206" w:lineRule="exact"/>
              <w:ind w:left="105"/>
              <w:rPr>
                <w:sz w:val="20"/>
              </w:rPr>
            </w:pPr>
            <w:r>
              <w:rPr>
                <w:sz w:val="20"/>
              </w:rPr>
              <w:t>Rs. 88.4997</w:t>
            </w:r>
          </w:p>
        </w:tc>
        <w:tc>
          <w:tcPr>
            <w:tcW w:w="2252" w:type="dxa"/>
          </w:tcPr>
          <w:p w:rsidR="00030318" w:rsidRDefault="00030318" w:rsidP="00030318">
            <w:pPr>
              <w:pStyle w:val="TableParagraph"/>
              <w:ind w:left="0"/>
              <w:rPr>
                <w:rFonts w:ascii="Times New Roman"/>
                <w:sz w:val="18"/>
              </w:rPr>
            </w:pPr>
          </w:p>
        </w:tc>
      </w:tr>
      <w:tr w:rsidR="00030318" w:rsidTr="00030318">
        <w:trPr>
          <w:trHeight w:val="225"/>
        </w:trPr>
        <w:tc>
          <w:tcPr>
            <w:tcW w:w="3872" w:type="dxa"/>
            <w:tcBorders>
              <w:bottom w:val="nil"/>
            </w:tcBorders>
          </w:tcPr>
          <w:p w:rsidR="00030318" w:rsidRDefault="00030318" w:rsidP="00030318">
            <w:pPr>
              <w:pStyle w:val="TableParagraph"/>
              <w:spacing w:line="206" w:lineRule="exact"/>
              <w:rPr>
                <w:sz w:val="20"/>
              </w:rPr>
            </w:pPr>
            <w:r>
              <w:rPr>
                <w:sz w:val="20"/>
              </w:rPr>
              <w:t>NAV (as at June 30 2017)</w:t>
            </w:r>
          </w:p>
        </w:tc>
        <w:tc>
          <w:tcPr>
            <w:tcW w:w="2430" w:type="dxa"/>
            <w:gridSpan w:val="3"/>
            <w:tcBorders>
              <w:bottom w:val="nil"/>
            </w:tcBorders>
          </w:tcPr>
          <w:p w:rsidR="00030318" w:rsidRDefault="00030318" w:rsidP="00030318">
            <w:pPr>
              <w:pStyle w:val="TableParagraph"/>
              <w:spacing w:line="206" w:lineRule="exact"/>
              <w:ind w:left="105"/>
              <w:rPr>
                <w:sz w:val="20"/>
              </w:rPr>
            </w:pPr>
            <w:r>
              <w:rPr>
                <w:sz w:val="20"/>
              </w:rPr>
              <w:t>Rs. 84.8927</w:t>
            </w:r>
          </w:p>
        </w:tc>
        <w:tc>
          <w:tcPr>
            <w:tcW w:w="2252" w:type="dxa"/>
            <w:vMerge w:val="restart"/>
          </w:tcPr>
          <w:p w:rsidR="00030318" w:rsidRDefault="00030318" w:rsidP="00030318">
            <w:pPr>
              <w:pStyle w:val="TableParagraph"/>
              <w:ind w:left="0"/>
              <w:rPr>
                <w:rFonts w:ascii="Times New Roman"/>
                <w:sz w:val="18"/>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NAV (as at June 30 2016)</w:t>
            </w:r>
          </w:p>
        </w:tc>
        <w:tc>
          <w:tcPr>
            <w:tcW w:w="2430" w:type="dxa"/>
            <w:gridSpan w:val="3"/>
            <w:tcBorders>
              <w:top w:val="nil"/>
              <w:bottom w:val="nil"/>
            </w:tcBorders>
          </w:tcPr>
          <w:p w:rsidR="00030318" w:rsidRDefault="00030318" w:rsidP="00030318">
            <w:pPr>
              <w:pStyle w:val="TableParagraph"/>
              <w:spacing w:line="199" w:lineRule="exact"/>
              <w:ind w:left="105"/>
              <w:rPr>
                <w:sz w:val="20"/>
              </w:rPr>
            </w:pPr>
            <w:r>
              <w:rPr>
                <w:sz w:val="20"/>
              </w:rPr>
              <w:t>Rs. 84.8042</w:t>
            </w:r>
          </w:p>
        </w:tc>
        <w:tc>
          <w:tcPr>
            <w:tcW w:w="2252" w:type="dxa"/>
            <w:vMerge/>
            <w:tcBorders>
              <w:top w:val="nil"/>
            </w:tcBorders>
          </w:tcPr>
          <w:p w:rsidR="00030318" w:rsidRDefault="00030318" w:rsidP="00030318">
            <w:pPr>
              <w:rPr>
                <w:sz w:val="2"/>
                <w:szCs w:val="2"/>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NAV (as at June 30 2015)</w:t>
            </w:r>
          </w:p>
        </w:tc>
        <w:tc>
          <w:tcPr>
            <w:tcW w:w="2430" w:type="dxa"/>
            <w:gridSpan w:val="3"/>
            <w:tcBorders>
              <w:top w:val="nil"/>
              <w:bottom w:val="nil"/>
            </w:tcBorders>
          </w:tcPr>
          <w:p w:rsidR="00030318" w:rsidRDefault="00030318" w:rsidP="00030318">
            <w:pPr>
              <w:pStyle w:val="TableParagraph"/>
              <w:spacing w:line="199" w:lineRule="exact"/>
              <w:ind w:left="105"/>
              <w:rPr>
                <w:sz w:val="20"/>
              </w:rPr>
            </w:pPr>
            <w:r>
              <w:rPr>
                <w:sz w:val="20"/>
              </w:rPr>
              <w:t>Rs. 80.9952</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NAV (as at June 30 2014)</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78.7438</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NAV (as at 30 June 2013)</w:t>
            </w:r>
          </w:p>
        </w:tc>
        <w:tc>
          <w:tcPr>
            <w:tcW w:w="434" w:type="dxa"/>
            <w:tcBorders>
              <w:top w:val="nil"/>
              <w:bottom w:val="nil"/>
              <w:right w:val="nil"/>
            </w:tcBorders>
          </w:tcPr>
          <w:p w:rsidR="00030318" w:rsidRDefault="00030318" w:rsidP="00030318">
            <w:pPr>
              <w:pStyle w:val="TableParagraph"/>
              <w:spacing w:line="200" w:lineRule="exact"/>
              <w:ind w:left="0" w:right="21"/>
              <w:jc w:val="right"/>
              <w:rPr>
                <w:sz w:val="20"/>
              </w:rPr>
            </w:pPr>
            <w:r>
              <w:rPr>
                <w:w w:val="95"/>
                <w:sz w:val="20"/>
              </w:rPr>
              <w:t>Rs.</w:t>
            </w:r>
          </w:p>
        </w:tc>
        <w:tc>
          <w:tcPr>
            <w:tcW w:w="1322" w:type="dxa"/>
            <w:tcBorders>
              <w:top w:val="nil"/>
              <w:left w:val="nil"/>
              <w:bottom w:val="nil"/>
              <w:right w:val="nil"/>
            </w:tcBorders>
          </w:tcPr>
          <w:p w:rsidR="00030318" w:rsidRDefault="00030318" w:rsidP="00030318">
            <w:pPr>
              <w:pStyle w:val="TableParagraph"/>
              <w:spacing w:line="200" w:lineRule="exact"/>
              <w:ind w:left="87"/>
              <w:rPr>
                <w:sz w:val="20"/>
              </w:rPr>
            </w:pPr>
            <w:r>
              <w:rPr>
                <w:sz w:val="20"/>
              </w:rPr>
              <w:t>84.9024</w:t>
            </w:r>
          </w:p>
        </w:tc>
        <w:tc>
          <w:tcPr>
            <w:tcW w:w="674" w:type="dxa"/>
            <w:tcBorders>
              <w:top w:val="nil"/>
              <w:left w:val="nil"/>
              <w:bottom w:val="nil"/>
            </w:tcBorders>
          </w:tcPr>
          <w:p w:rsidR="00030318" w:rsidRDefault="00030318" w:rsidP="00030318">
            <w:pPr>
              <w:pStyle w:val="TableParagraph"/>
              <w:ind w:left="0"/>
              <w:rPr>
                <w:rFonts w:ascii="Times New Roman"/>
                <w:sz w:val="14"/>
              </w:rPr>
            </w:pP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NAV (as at 30 June 2012)</w:t>
            </w:r>
          </w:p>
        </w:tc>
        <w:tc>
          <w:tcPr>
            <w:tcW w:w="434" w:type="dxa"/>
            <w:tcBorders>
              <w:top w:val="nil"/>
              <w:bottom w:val="nil"/>
              <w:right w:val="nil"/>
            </w:tcBorders>
          </w:tcPr>
          <w:p w:rsidR="00030318" w:rsidRDefault="00030318" w:rsidP="00030318">
            <w:pPr>
              <w:pStyle w:val="TableParagraph"/>
              <w:spacing w:line="200" w:lineRule="exact"/>
              <w:ind w:left="0" w:right="21"/>
              <w:jc w:val="right"/>
              <w:rPr>
                <w:sz w:val="20"/>
              </w:rPr>
            </w:pPr>
            <w:r>
              <w:rPr>
                <w:w w:val="95"/>
                <w:sz w:val="20"/>
              </w:rPr>
              <w:t>Rs.</w:t>
            </w:r>
          </w:p>
        </w:tc>
        <w:tc>
          <w:tcPr>
            <w:tcW w:w="1322" w:type="dxa"/>
            <w:tcBorders>
              <w:top w:val="nil"/>
              <w:left w:val="nil"/>
              <w:bottom w:val="nil"/>
              <w:right w:val="nil"/>
            </w:tcBorders>
          </w:tcPr>
          <w:p w:rsidR="00030318" w:rsidRDefault="00030318" w:rsidP="00030318">
            <w:pPr>
              <w:pStyle w:val="TableParagraph"/>
              <w:spacing w:line="200" w:lineRule="exact"/>
              <w:ind w:left="86"/>
              <w:rPr>
                <w:sz w:val="20"/>
              </w:rPr>
            </w:pPr>
            <w:r>
              <w:rPr>
                <w:sz w:val="20"/>
              </w:rPr>
              <w:t>76.5075</w:t>
            </w:r>
          </w:p>
        </w:tc>
        <w:tc>
          <w:tcPr>
            <w:tcW w:w="674" w:type="dxa"/>
            <w:tcBorders>
              <w:top w:val="nil"/>
              <w:left w:val="nil"/>
              <w:bottom w:val="nil"/>
            </w:tcBorders>
          </w:tcPr>
          <w:p w:rsidR="00030318" w:rsidRDefault="00030318" w:rsidP="00030318">
            <w:pPr>
              <w:pStyle w:val="TableParagraph"/>
              <w:ind w:left="0"/>
              <w:rPr>
                <w:rFonts w:ascii="Times New Roman"/>
                <w:sz w:val="14"/>
              </w:rPr>
            </w:pP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0" w:lineRule="exact"/>
              <w:rPr>
                <w:sz w:val="20"/>
              </w:rPr>
            </w:pPr>
            <w:r>
              <w:rPr>
                <w:sz w:val="20"/>
              </w:rPr>
              <w:t>NAV (as at 30 June 2011)</w:t>
            </w:r>
          </w:p>
        </w:tc>
        <w:tc>
          <w:tcPr>
            <w:tcW w:w="2430" w:type="dxa"/>
            <w:gridSpan w:val="3"/>
            <w:tcBorders>
              <w:top w:val="nil"/>
              <w:bottom w:val="nil"/>
            </w:tcBorders>
          </w:tcPr>
          <w:p w:rsidR="00030318" w:rsidRDefault="00030318" w:rsidP="00030318">
            <w:pPr>
              <w:pStyle w:val="TableParagraph"/>
              <w:spacing w:line="200" w:lineRule="exact"/>
              <w:ind w:left="105"/>
              <w:rPr>
                <w:sz w:val="20"/>
              </w:rPr>
            </w:pPr>
            <w:r>
              <w:rPr>
                <w:sz w:val="20"/>
              </w:rPr>
              <w:t>Rs. 100.8203</w:t>
            </w:r>
          </w:p>
        </w:tc>
        <w:tc>
          <w:tcPr>
            <w:tcW w:w="2252" w:type="dxa"/>
            <w:vMerge/>
            <w:tcBorders>
              <w:top w:val="nil"/>
            </w:tcBorders>
          </w:tcPr>
          <w:p w:rsidR="00030318" w:rsidRDefault="00030318" w:rsidP="00030318">
            <w:pPr>
              <w:rPr>
                <w:sz w:val="2"/>
                <w:szCs w:val="2"/>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NAV (as at 30 June 2010)</w:t>
            </w:r>
          </w:p>
        </w:tc>
        <w:tc>
          <w:tcPr>
            <w:tcW w:w="434" w:type="dxa"/>
            <w:tcBorders>
              <w:top w:val="nil"/>
              <w:bottom w:val="nil"/>
              <w:right w:val="nil"/>
            </w:tcBorders>
          </w:tcPr>
          <w:p w:rsidR="00030318" w:rsidRDefault="00030318" w:rsidP="00030318">
            <w:pPr>
              <w:pStyle w:val="TableParagraph"/>
              <w:spacing w:line="199" w:lineRule="exact"/>
              <w:ind w:left="0" w:right="21"/>
              <w:jc w:val="right"/>
              <w:rPr>
                <w:sz w:val="20"/>
              </w:rPr>
            </w:pPr>
            <w:r>
              <w:rPr>
                <w:w w:val="95"/>
                <w:sz w:val="20"/>
              </w:rPr>
              <w:t>Rs.</w:t>
            </w:r>
          </w:p>
        </w:tc>
        <w:tc>
          <w:tcPr>
            <w:tcW w:w="1322" w:type="dxa"/>
            <w:tcBorders>
              <w:top w:val="nil"/>
              <w:left w:val="nil"/>
              <w:bottom w:val="nil"/>
              <w:right w:val="nil"/>
            </w:tcBorders>
          </w:tcPr>
          <w:p w:rsidR="00030318" w:rsidRDefault="00030318" w:rsidP="00030318">
            <w:pPr>
              <w:pStyle w:val="TableParagraph"/>
              <w:spacing w:line="199" w:lineRule="exact"/>
              <w:ind w:left="141"/>
              <w:rPr>
                <w:sz w:val="20"/>
              </w:rPr>
            </w:pPr>
            <w:r>
              <w:rPr>
                <w:sz w:val="20"/>
              </w:rPr>
              <w:t>97.9604</w:t>
            </w:r>
          </w:p>
        </w:tc>
        <w:tc>
          <w:tcPr>
            <w:tcW w:w="674" w:type="dxa"/>
            <w:tcBorders>
              <w:top w:val="nil"/>
              <w:left w:val="nil"/>
              <w:bottom w:val="nil"/>
            </w:tcBorders>
          </w:tcPr>
          <w:p w:rsidR="00030318" w:rsidRDefault="00030318" w:rsidP="00030318">
            <w:pPr>
              <w:pStyle w:val="TableParagraph"/>
              <w:ind w:left="0"/>
              <w:rPr>
                <w:rFonts w:ascii="Times New Roman"/>
                <w:sz w:val="14"/>
              </w:rPr>
            </w:pPr>
          </w:p>
        </w:tc>
        <w:tc>
          <w:tcPr>
            <w:tcW w:w="2252" w:type="dxa"/>
            <w:vMerge/>
            <w:tcBorders>
              <w:top w:val="nil"/>
            </w:tcBorders>
          </w:tcPr>
          <w:p w:rsidR="00030318" w:rsidRDefault="00030318" w:rsidP="00030318">
            <w:pPr>
              <w:rPr>
                <w:sz w:val="2"/>
                <w:szCs w:val="2"/>
              </w:rPr>
            </w:pPr>
          </w:p>
        </w:tc>
      </w:tr>
      <w:tr w:rsidR="00030318" w:rsidTr="00030318">
        <w:trPr>
          <w:trHeight w:val="219"/>
        </w:trPr>
        <w:tc>
          <w:tcPr>
            <w:tcW w:w="3872" w:type="dxa"/>
            <w:tcBorders>
              <w:top w:val="nil"/>
              <w:bottom w:val="nil"/>
            </w:tcBorders>
          </w:tcPr>
          <w:p w:rsidR="00030318" w:rsidRDefault="00030318" w:rsidP="00030318">
            <w:pPr>
              <w:pStyle w:val="TableParagraph"/>
              <w:spacing w:line="199" w:lineRule="exact"/>
              <w:rPr>
                <w:sz w:val="20"/>
              </w:rPr>
            </w:pPr>
            <w:r>
              <w:rPr>
                <w:sz w:val="20"/>
              </w:rPr>
              <w:t>NAV (as at 30 June 2009)</w:t>
            </w:r>
          </w:p>
        </w:tc>
        <w:tc>
          <w:tcPr>
            <w:tcW w:w="2430" w:type="dxa"/>
            <w:gridSpan w:val="3"/>
            <w:tcBorders>
              <w:top w:val="nil"/>
              <w:bottom w:val="nil"/>
            </w:tcBorders>
          </w:tcPr>
          <w:p w:rsidR="00030318" w:rsidRDefault="00030318" w:rsidP="00030318">
            <w:pPr>
              <w:pStyle w:val="TableParagraph"/>
              <w:spacing w:line="199" w:lineRule="exact"/>
              <w:ind w:left="105"/>
              <w:rPr>
                <w:sz w:val="20"/>
              </w:rPr>
            </w:pPr>
            <w:r>
              <w:rPr>
                <w:sz w:val="20"/>
              </w:rPr>
              <w:t>Rs. 103.4033</w:t>
            </w:r>
          </w:p>
        </w:tc>
        <w:tc>
          <w:tcPr>
            <w:tcW w:w="2252" w:type="dxa"/>
            <w:vMerge/>
            <w:tcBorders>
              <w:top w:val="nil"/>
            </w:tcBorders>
          </w:tcPr>
          <w:p w:rsidR="00030318" w:rsidRDefault="00030318" w:rsidP="00030318">
            <w:pPr>
              <w:rPr>
                <w:sz w:val="2"/>
                <w:szCs w:val="2"/>
              </w:rPr>
            </w:pPr>
          </w:p>
        </w:tc>
      </w:tr>
      <w:tr w:rsidR="00030318" w:rsidTr="00030318">
        <w:trPr>
          <w:trHeight w:val="220"/>
        </w:trPr>
        <w:tc>
          <w:tcPr>
            <w:tcW w:w="3872" w:type="dxa"/>
            <w:tcBorders>
              <w:top w:val="nil"/>
              <w:bottom w:val="nil"/>
            </w:tcBorders>
          </w:tcPr>
          <w:p w:rsidR="00030318" w:rsidRDefault="00030318" w:rsidP="00030318">
            <w:pPr>
              <w:pStyle w:val="TableParagraph"/>
              <w:spacing w:line="201" w:lineRule="exact"/>
              <w:rPr>
                <w:sz w:val="20"/>
              </w:rPr>
            </w:pPr>
            <w:r>
              <w:rPr>
                <w:sz w:val="20"/>
              </w:rPr>
              <w:t>NAV (as at 30 June 2008)</w:t>
            </w:r>
          </w:p>
        </w:tc>
        <w:tc>
          <w:tcPr>
            <w:tcW w:w="2430" w:type="dxa"/>
            <w:gridSpan w:val="3"/>
            <w:tcBorders>
              <w:top w:val="nil"/>
              <w:bottom w:val="nil"/>
            </w:tcBorders>
          </w:tcPr>
          <w:p w:rsidR="00030318" w:rsidRDefault="00030318" w:rsidP="00030318">
            <w:pPr>
              <w:pStyle w:val="TableParagraph"/>
              <w:spacing w:line="201" w:lineRule="exact"/>
              <w:ind w:left="105"/>
              <w:rPr>
                <w:sz w:val="20"/>
              </w:rPr>
            </w:pPr>
            <w:r>
              <w:rPr>
                <w:sz w:val="20"/>
              </w:rPr>
              <w:t>Rs. 111.6250</w:t>
            </w:r>
          </w:p>
        </w:tc>
        <w:tc>
          <w:tcPr>
            <w:tcW w:w="2252" w:type="dxa"/>
            <w:vMerge/>
            <w:tcBorders>
              <w:top w:val="nil"/>
            </w:tcBorders>
          </w:tcPr>
          <w:p w:rsidR="00030318" w:rsidRDefault="00030318" w:rsidP="00030318">
            <w:pPr>
              <w:rPr>
                <w:sz w:val="2"/>
                <w:szCs w:val="2"/>
              </w:rPr>
            </w:pPr>
          </w:p>
        </w:tc>
      </w:tr>
      <w:tr w:rsidR="00030318" w:rsidTr="00030318">
        <w:trPr>
          <w:trHeight w:val="224"/>
        </w:trPr>
        <w:tc>
          <w:tcPr>
            <w:tcW w:w="3872" w:type="dxa"/>
            <w:tcBorders>
              <w:top w:val="nil"/>
            </w:tcBorders>
          </w:tcPr>
          <w:p w:rsidR="00030318" w:rsidRDefault="00030318" w:rsidP="00030318">
            <w:pPr>
              <w:pStyle w:val="TableParagraph"/>
              <w:spacing w:line="205" w:lineRule="exact"/>
              <w:rPr>
                <w:sz w:val="20"/>
              </w:rPr>
            </w:pPr>
            <w:r>
              <w:rPr>
                <w:sz w:val="20"/>
              </w:rPr>
              <w:t>NAV (as at 30 June 2007)</w:t>
            </w:r>
          </w:p>
        </w:tc>
        <w:tc>
          <w:tcPr>
            <w:tcW w:w="2430" w:type="dxa"/>
            <w:gridSpan w:val="3"/>
            <w:tcBorders>
              <w:top w:val="nil"/>
            </w:tcBorders>
          </w:tcPr>
          <w:p w:rsidR="00030318" w:rsidRDefault="00030318" w:rsidP="00030318">
            <w:pPr>
              <w:pStyle w:val="TableParagraph"/>
              <w:spacing w:line="205" w:lineRule="exact"/>
              <w:ind w:left="105"/>
              <w:rPr>
                <w:sz w:val="20"/>
              </w:rPr>
            </w:pPr>
            <w:r>
              <w:rPr>
                <w:sz w:val="20"/>
              </w:rPr>
              <w:t>Rs. 109.5939</w:t>
            </w:r>
          </w:p>
        </w:tc>
        <w:tc>
          <w:tcPr>
            <w:tcW w:w="2252" w:type="dxa"/>
            <w:vMerge/>
            <w:tcBorders>
              <w:top w:val="nil"/>
            </w:tcBorders>
          </w:tcPr>
          <w:p w:rsidR="00030318" w:rsidRDefault="00030318" w:rsidP="00030318">
            <w:pPr>
              <w:rPr>
                <w:sz w:val="2"/>
                <w:szCs w:val="2"/>
              </w:rPr>
            </w:pPr>
          </w:p>
        </w:tc>
      </w:tr>
      <w:tr w:rsidR="00030318" w:rsidTr="00030318">
        <w:trPr>
          <w:trHeight w:val="460"/>
        </w:trPr>
        <w:tc>
          <w:tcPr>
            <w:tcW w:w="3872" w:type="dxa"/>
          </w:tcPr>
          <w:p w:rsidR="00030318" w:rsidRDefault="00030318" w:rsidP="00030318">
            <w:pPr>
              <w:pStyle w:val="TableParagraph"/>
              <w:spacing w:before="112"/>
              <w:rPr>
                <w:sz w:val="20"/>
              </w:rPr>
            </w:pPr>
            <w:r>
              <w:rPr>
                <w:sz w:val="20"/>
              </w:rPr>
              <w:t>Listing</w:t>
            </w:r>
          </w:p>
        </w:tc>
        <w:tc>
          <w:tcPr>
            <w:tcW w:w="1756" w:type="dxa"/>
            <w:gridSpan w:val="2"/>
            <w:tcBorders>
              <w:right w:val="nil"/>
            </w:tcBorders>
          </w:tcPr>
          <w:p w:rsidR="00030318" w:rsidRDefault="00030318" w:rsidP="00030318">
            <w:pPr>
              <w:pStyle w:val="TableParagraph"/>
              <w:spacing w:line="230" w:lineRule="exact"/>
              <w:ind w:left="105" w:right="53"/>
              <w:rPr>
                <w:sz w:val="20"/>
              </w:rPr>
            </w:pPr>
            <w:r>
              <w:rPr>
                <w:sz w:val="20"/>
              </w:rPr>
              <w:t xml:space="preserve">Pakistan </w:t>
            </w:r>
            <w:r>
              <w:rPr>
                <w:w w:val="95"/>
                <w:sz w:val="20"/>
              </w:rPr>
              <w:t>Exchange</w:t>
            </w:r>
          </w:p>
        </w:tc>
        <w:tc>
          <w:tcPr>
            <w:tcW w:w="674" w:type="dxa"/>
            <w:tcBorders>
              <w:left w:val="nil"/>
            </w:tcBorders>
          </w:tcPr>
          <w:p w:rsidR="00030318" w:rsidRDefault="00030318" w:rsidP="00030318">
            <w:pPr>
              <w:pStyle w:val="TableParagraph"/>
              <w:spacing w:line="227" w:lineRule="exact"/>
              <w:ind w:left="67"/>
              <w:rPr>
                <w:sz w:val="20"/>
              </w:rPr>
            </w:pPr>
            <w:r>
              <w:rPr>
                <w:sz w:val="20"/>
              </w:rPr>
              <w:t>Stock</w:t>
            </w:r>
          </w:p>
        </w:tc>
        <w:tc>
          <w:tcPr>
            <w:tcW w:w="2252" w:type="dxa"/>
          </w:tcPr>
          <w:p w:rsidR="00030318" w:rsidRDefault="00030318" w:rsidP="00030318">
            <w:pPr>
              <w:pStyle w:val="TableParagraph"/>
              <w:ind w:left="0"/>
              <w:rPr>
                <w:rFonts w:ascii="Times New Roman"/>
                <w:sz w:val="18"/>
              </w:rPr>
            </w:pPr>
          </w:p>
        </w:tc>
      </w:tr>
      <w:tr w:rsidR="00030318" w:rsidTr="00030318">
        <w:trPr>
          <w:trHeight w:val="460"/>
        </w:trPr>
        <w:tc>
          <w:tcPr>
            <w:tcW w:w="3872" w:type="dxa"/>
          </w:tcPr>
          <w:p w:rsidR="00030318" w:rsidRDefault="00030318" w:rsidP="00030318">
            <w:pPr>
              <w:pStyle w:val="TableParagraph"/>
              <w:spacing w:line="225" w:lineRule="exact"/>
              <w:rPr>
                <w:b/>
                <w:sz w:val="20"/>
              </w:rPr>
            </w:pPr>
            <w:r>
              <w:rPr>
                <w:b/>
                <w:sz w:val="20"/>
              </w:rPr>
              <w:t>Fund Rating</w:t>
            </w:r>
          </w:p>
          <w:p w:rsidR="00030318" w:rsidRDefault="00030318" w:rsidP="00030318">
            <w:pPr>
              <w:pStyle w:val="TableParagraph"/>
              <w:spacing w:line="215" w:lineRule="exact"/>
              <w:rPr>
                <w:b/>
                <w:sz w:val="20"/>
              </w:rPr>
            </w:pPr>
            <w:r>
              <w:rPr>
                <w:b/>
                <w:sz w:val="20"/>
              </w:rPr>
              <w:t>(Credit Rating Agency: JCR-VIS)</w:t>
            </w:r>
          </w:p>
        </w:tc>
        <w:tc>
          <w:tcPr>
            <w:tcW w:w="2430" w:type="dxa"/>
            <w:gridSpan w:val="3"/>
          </w:tcPr>
          <w:p w:rsidR="00030318" w:rsidRDefault="00030318" w:rsidP="00030318">
            <w:pPr>
              <w:pStyle w:val="TableParagraph"/>
              <w:spacing w:before="112"/>
              <w:ind w:left="105"/>
              <w:rPr>
                <w:sz w:val="20"/>
              </w:rPr>
            </w:pPr>
            <w:r>
              <w:rPr>
                <w:sz w:val="20"/>
              </w:rPr>
              <w:t>BBB+ (JCR-VIS)</w:t>
            </w:r>
          </w:p>
        </w:tc>
        <w:tc>
          <w:tcPr>
            <w:tcW w:w="2252" w:type="dxa"/>
          </w:tcPr>
          <w:p w:rsidR="00030318" w:rsidRDefault="00030318" w:rsidP="00030318">
            <w:pPr>
              <w:pStyle w:val="TableParagraph"/>
              <w:ind w:left="0"/>
              <w:rPr>
                <w:rFonts w:ascii="Times New Roman"/>
                <w:sz w:val="18"/>
              </w:rPr>
            </w:pPr>
          </w:p>
        </w:tc>
      </w:tr>
      <w:tr w:rsidR="00030318" w:rsidTr="00030318">
        <w:trPr>
          <w:trHeight w:val="230"/>
        </w:trPr>
        <w:tc>
          <w:tcPr>
            <w:tcW w:w="3872" w:type="dxa"/>
          </w:tcPr>
          <w:p w:rsidR="00030318" w:rsidRDefault="00030318" w:rsidP="00030318">
            <w:pPr>
              <w:pStyle w:val="TableParagraph"/>
              <w:spacing w:line="210" w:lineRule="exact"/>
              <w:rPr>
                <w:b/>
                <w:sz w:val="20"/>
              </w:rPr>
            </w:pPr>
            <w:r>
              <w:rPr>
                <w:b/>
                <w:sz w:val="20"/>
              </w:rPr>
              <w:t>Performance:</w:t>
            </w:r>
          </w:p>
        </w:tc>
        <w:tc>
          <w:tcPr>
            <w:tcW w:w="2430" w:type="dxa"/>
            <w:gridSpan w:val="3"/>
          </w:tcPr>
          <w:p w:rsidR="00030318" w:rsidRDefault="00030318" w:rsidP="00030318">
            <w:pPr>
              <w:pStyle w:val="TableParagraph"/>
              <w:spacing w:line="210" w:lineRule="exact"/>
              <w:ind w:left="105"/>
              <w:rPr>
                <w:b/>
                <w:sz w:val="20"/>
              </w:rPr>
            </w:pPr>
            <w:r>
              <w:rPr>
                <w:b/>
                <w:sz w:val="20"/>
              </w:rPr>
              <w:t>Return (p.a.)</w:t>
            </w:r>
          </w:p>
        </w:tc>
        <w:tc>
          <w:tcPr>
            <w:tcW w:w="2252" w:type="dxa"/>
          </w:tcPr>
          <w:p w:rsidR="00030318" w:rsidRDefault="00030318" w:rsidP="00030318">
            <w:pPr>
              <w:pStyle w:val="TableParagraph"/>
              <w:spacing w:line="210" w:lineRule="exact"/>
              <w:ind w:left="106"/>
              <w:rPr>
                <w:b/>
                <w:sz w:val="20"/>
              </w:rPr>
            </w:pPr>
            <w:r>
              <w:rPr>
                <w:b/>
                <w:sz w:val="20"/>
              </w:rPr>
              <w:t>Payout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June 30 2017</w:t>
            </w:r>
          </w:p>
        </w:tc>
        <w:tc>
          <w:tcPr>
            <w:tcW w:w="2430" w:type="dxa"/>
            <w:gridSpan w:val="3"/>
          </w:tcPr>
          <w:p w:rsidR="00030318" w:rsidRDefault="00030318" w:rsidP="00030318">
            <w:pPr>
              <w:pStyle w:val="TableParagraph"/>
              <w:spacing w:line="210" w:lineRule="exact"/>
              <w:ind w:left="105"/>
              <w:rPr>
                <w:sz w:val="20"/>
              </w:rPr>
            </w:pPr>
            <w:r>
              <w:rPr>
                <w:sz w:val="20"/>
              </w:rPr>
              <w:t>6.77%</w:t>
            </w:r>
          </w:p>
        </w:tc>
        <w:tc>
          <w:tcPr>
            <w:tcW w:w="2252" w:type="dxa"/>
          </w:tcPr>
          <w:p w:rsidR="00030318" w:rsidRDefault="00030318" w:rsidP="00030318">
            <w:pPr>
              <w:pStyle w:val="TableParagraph"/>
              <w:spacing w:line="210" w:lineRule="exact"/>
              <w:ind w:left="106"/>
              <w:rPr>
                <w:sz w:val="20"/>
              </w:rPr>
            </w:pPr>
            <w:r>
              <w:rPr>
                <w:sz w:val="20"/>
              </w:rPr>
              <w:t>Rs. 5.6500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June 30 2016</w:t>
            </w:r>
          </w:p>
        </w:tc>
        <w:tc>
          <w:tcPr>
            <w:tcW w:w="2430" w:type="dxa"/>
            <w:gridSpan w:val="3"/>
          </w:tcPr>
          <w:p w:rsidR="00030318" w:rsidRDefault="00030318" w:rsidP="00030318">
            <w:pPr>
              <w:pStyle w:val="TableParagraph"/>
              <w:spacing w:line="210" w:lineRule="exact"/>
              <w:ind w:left="105"/>
              <w:rPr>
                <w:sz w:val="20"/>
              </w:rPr>
            </w:pPr>
            <w:r>
              <w:rPr>
                <w:sz w:val="20"/>
              </w:rPr>
              <w:t>12.12%</w:t>
            </w:r>
          </w:p>
        </w:tc>
        <w:tc>
          <w:tcPr>
            <w:tcW w:w="2252" w:type="dxa"/>
          </w:tcPr>
          <w:p w:rsidR="00030318" w:rsidRDefault="00030318" w:rsidP="00030318">
            <w:pPr>
              <w:pStyle w:val="TableParagraph"/>
              <w:spacing w:line="210" w:lineRule="exact"/>
              <w:ind w:left="106"/>
              <w:rPr>
                <w:sz w:val="20"/>
              </w:rPr>
            </w:pPr>
            <w:r>
              <w:rPr>
                <w:sz w:val="20"/>
              </w:rPr>
              <w:t>6.00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June 30 2015</w:t>
            </w:r>
          </w:p>
        </w:tc>
        <w:tc>
          <w:tcPr>
            <w:tcW w:w="2430" w:type="dxa"/>
            <w:gridSpan w:val="3"/>
          </w:tcPr>
          <w:p w:rsidR="00030318" w:rsidRDefault="00030318" w:rsidP="00030318">
            <w:pPr>
              <w:pStyle w:val="TableParagraph"/>
              <w:spacing w:line="210" w:lineRule="exact"/>
              <w:ind w:left="105"/>
              <w:rPr>
                <w:sz w:val="20"/>
              </w:rPr>
            </w:pPr>
            <w:r>
              <w:rPr>
                <w:sz w:val="20"/>
              </w:rPr>
              <w:t>11.92%</w:t>
            </w:r>
          </w:p>
        </w:tc>
        <w:tc>
          <w:tcPr>
            <w:tcW w:w="2252" w:type="dxa"/>
          </w:tcPr>
          <w:p w:rsidR="00030318" w:rsidRDefault="00030318" w:rsidP="00030318">
            <w:pPr>
              <w:pStyle w:val="TableParagraph"/>
              <w:spacing w:line="210" w:lineRule="exact"/>
              <w:ind w:left="106"/>
              <w:rPr>
                <w:sz w:val="20"/>
              </w:rPr>
            </w:pPr>
            <w:r>
              <w:rPr>
                <w:sz w:val="20"/>
              </w:rPr>
              <w:t>Rs. 7.14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June 30 2014</w:t>
            </w:r>
          </w:p>
        </w:tc>
        <w:tc>
          <w:tcPr>
            <w:tcW w:w="2430" w:type="dxa"/>
            <w:gridSpan w:val="3"/>
          </w:tcPr>
          <w:p w:rsidR="00030318" w:rsidRDefault="00030318" w:rsidP="00030318">
            <w:pPr>
              <w:pStyle w:val="TableParagraph"/>
              <w:spacing w:line="210" w:lineRule="exact"/>
              <w:ind w:left="105"/>
              <w:rPr>
                <w:sz w:val="20"/>
              </w:rPr>
            </w:pPr>
            <w:r>
              <w:rPr>
                <w:sz w:val="20"/>
              </w:rPr>
              <w:t>18.35%</w:t>
            </w:r>
          </w:p>
        </w:tc>
        <w:tc>
          <w:tcPr>
            <w:tcW w:w="2252" w:type="dxa"/>
          </w:tcPr>
          <w:p w:rsidR="00030318" w:rsidRDefault="00030318" w:rsidP="00030318">
            <w:pPr>
              <w:pStyle w:val="TableParagraph"/>
              <w:spacing w:line="210" w:lineRule="exact"/>
              <w:ind w:left="106"/>
              <w:rPr>
                <w:sz w:val="20"/>
              </w:rPr>
            </w:pPr>
            <w:r>
              <w:rPr>
                <w:sz w:val="20"/>
              </w:rPr>
              <w:t>Rs. 12.52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June 2013</w:t>
            </w:r>
          </w:p>
        </w:tc>
        <w:tc>
          <w:tcPr>
            <w:tcW w:w="2430" w:type="dxa"/>
            <w:gridSpan w:val="3"/>
          </w:tcPr>
          <w:p w:rsidR="00030318" w:rsidRDefault="00030318" w:rsidP="00030318">
            <w:pPr>
              <w:pStyle w:val="TableParagraph"/>
              <w:spacing w:line="210" w:lineRule="exact"/>
              <w:ind w:left="105"/>
              <w:rPr>
                <w:sz w:val="20"/>
              </w:rPr>
            </w:pPr>
            <w:r>
              <w:rPr>
                <w:sz w:val="20"/>
              </w:rPr>
              <w:t>10.71%</w:t>
            </w:r>
          </w:p>
        </w:tc>
        <w:tc>
          <w:tcPr>
            <w:tcW w:w="2252" w:type="dxa"/>
          </w:tcPr>
          <w:p w:rsidR="00030318" w:rsidRDefault="00030318" w:rsidP="00030318">
            <w:pPr>
              <w:pStyle w:val="TableParagraph"/>
              <w:spacing w:line="210" w:lineRule="exact"/>
              <w:ind w:left="106"/>
              <w:rPr>
                <w:sz w:val="20"/>
              </w:rPr>
            </w:pPr>
            <w:r>
              <w:rPr>
                <w:sz w:val="20"/>
              </w:rPr>
              <w:t>Rs. 7.76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June 2012</w:t>
            </w:r>
          </w:p>
        </w:tc>
        <w:tc>
          <w:tcPr>
            <w:tcW w:w="2430" w:type="dxa"/>
            <w:gridSpan w:val="3"/>
          </w:tcPr>
          <w:p w:rsidR="00030318" w:rsidRDefault="00030318" w:rsidP="00030318">
            <w:pPr>
              <w:pStyle w:val="TableParagraph"/>
              <w:spacing w:line="210" w:lineRule="exact"/>
              <w:ind w:left="105"/>
              <w:rPr>
                <w:sz w:val="20"/>
              </w:rPr>
            </w:pPr>
            <w:r>
              <w:rPr>
                <w:sz w:val="20"/>
              </w:rPr>
              <w:t>-12.29%</w:t>
            </w:r>
          </w:p>
        </w:tc>
        <w:tc>
          <w:tcPr>
            <w:tcW w:w="2252" w:type="dxa"/>
          </w:tcPr>
          <w:p w:rsidR="00030318" w:rsidRDefault="00030318" w:rsidP="00030318">
            <w:pPr>
              <w:pStyle w:val="TableParagraph"/>
              <w:spacing w:line="210" w:lineRule="exact"/>
              <w:ind w:left="106"/>
              <w:rPr>
                <w:sz w:val="20"/>
              </w:rPr>
            </w:pPr>
            <w:r>
              <w:rPr>
                <w:sz w:val="20"/>
              </w:rPr>
              <w:t>NIL</w:t>
            </w:r>
          </w:p>
        </w:tc>
      </w:tr>
      <w:tr w:rsidR="00030318" w:rsidTr="00030318">
        <w:trPr>
          <w:trHeight w:val="381"/>
        </w:trPr>
        <w:tc>
          <w:tcPr>
            <w:tcW w:w="3872" w:type="dxa"/>
          </w:tcPr>
          <w:p w:rsidR="00030318" w:rsidRDefault="00030318" w:rsidP="00030318">
            <w:pPr>
              <w:pStyle w:val="TableParagraph"/>
              <w:spacing w:before="71"/>
              <w:rPr>
                <w:sz w:val="20"/>
              </w:rPr>
            </w:pPr>
            <w:r>
              <w:rPr>
                <w:sz w:val="20"/>
              </w:rPr>
              <w:t>Year ended 30 June 2011</w:t>
            </w:r>
          </w:p>
        </w:tc>
        <w:tc>
          <w:tcPr>
            <w:tcW w:w="2430" w:type="dxa"/>
            <w:gridSpan w:val="3"/>
          </w:tcPr>
          <w:p w:rsidR="00030318" w:rsidRDefault="00030318" w:rsidP="00030318">
            <w:pPr>
              <w:pStyle w:val="TableParagraph"/>
              <w:spacing w:before="71"/>
              <w:ind w:left="105"/>
              <w:rPr>
                <w:sz w:val="20"/>
              </w:rPr>
            </w:pPr>
            <w:r>
              <w:rPr>
                <w:sz w:val="20"/>
              </w:rPr>
              <w:t>-10.38%</w:t>
            </w:r>
          </w:p>
        </w:tc>
        <w:tc>
          <w:tcPr>
            <w:tcW w:w="2252" w:type="dxa"/>
          </w:tcPr>
          <w:p w:rsidR="00030318" w:rsidRDefault="00030318" w:rsidP="00030318">
            <w:pPr>
              <w:pStyle w:val="TableParagraph"/>
              <w:spacing w:before="71"/>
              <w:ind w:left="106"/>
              <w:rPr>
                <w:sz w:val="20"/>
              </w:rPr>
            </w:pPr>
            <w:r>
              <w:rPr>
                <w:sz w:val="20"/>
              </w:rPr>
              <w:t>NIL</w:t>
            </w:r>
          </w:p>
        </w:tc>
      </w:tr>
      <w:tr w:rsidR="00030318" w:rsidTr="00030318">
        <w:trPr>
          <w:trHeight w:val="460"/>
        </w:trPr>
        <w:tc>
          <w:tcPr>
            <w:tcW w:w="3872" w:type="dxa"/>
          </w:tcPr>
          <w:p w:rsidR="00030318" w:rsidRDefault="00030318" w:rsidP="00030318">
            <w:pPr>
              <w:pStyle w:val="TableParagraph"/>
              <w:spacing w:line="227" w:lineRule="exact"/>
              <w:rPr>
                <w:sz w:val="20"/>
              </w:rPr>
            </w:pPr>
            <w:r>
              <w:rPr>
                <w:sz w:val="20"/>
              </w:rPr>
              <w:t>Year ended 30 June 2010</w:t>
            </w:r>
          </w:p>
        </w:tc>
        <w:tc>
          <w:tcPr>
            <w:tcW w:w="2430" w:type="dxa"/>
            <w:gridSpan w:val="3"/>
          </w:tcPr>
          <w:p w:rsidR="00030318" w:rsidRDefault="00030318" w:rsidP="00030318">
            <w:pPr>
              <w:pStyle w:val="TableParagraph"/>
              <w:spacing w:before="112"/>
              <w:ind w:left="105"/>
              <w:rPr>
                <w:sz w:val="20"/>
              </w:rPr>
            </w:pPr>
            <w:r>
              <w:rPr>
                <w:sz w:val="20"/>
              </w:rPr>
              <w:t>9.26%</w:t>
            </w:r>
          </w:p>
        </w:tc>
        <w:tc>
          <w:tcPr>
            <w:tcW w:w="2252" w:type="dxa"/>
          </w:tcPr>
          <w:p w:rsidR="00030318" w:rsidRDefault="00030318" w:rsidP="00030318">
            <w:pPr>
              <w:pStyle w:val="TableParagraph"/>
              <w:spacing w:before="112"/>
              <w:ind w:left="106"/>
              <w:rPr>
                <w:sz w:val="20"/>
              </w:rPr>
            </w:pPr>
            <w:r>
              <w:rPr>
                <w:sz w:val="20"/>
              </w:rPr>
              <w:t>Rs. 3.22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30 June 2009</w:t>
            </w:r>
          </w:p>
        </w:tc>
        <w:tc>
          <w:tcPr>
            <w:tcW w:w="2430" w:type="dxa"/>
            <w:gridSpan w:val="3"/>
          </w:tcPr>
          <w:p w:rsidR="00030318" w:rsidRDefault="00030318" w:rsidP="00030318">
            <w:pPr>
              <w:pStyle w:val="TableParagraph"/>
              <w:spacing w:line="210" w:lineRule="exact"/>
              <w:ind w:left="105"/>
              <w:rPr>
                <w:sz w:val="20"/>
              </w:rPr>
            </w:pPr>
            <w:r>
              <w:rPr>
                <w:sz w:val="20"/>
              </w:rPr>
              <w:t>6.43%</w:t>
            </w:r>
          </w:p>
        </w:tc>
        <w:tc>
          <w:tcPr>
            <w:tcW w:w="2252" w:type="dxa"/>
          </w:tcPr>
          <w:p w:rsidR="00030318" w:rsidRDefault="00030318" w:rsidP="00030318">
            <w:pPr>
              <w:pStyle w:val="TableParagraph"/>
              <w:spacing w:line="210" w:lineRule="exact"/>
              <w:ind w:left="106"/>
              <w:rPr>
                <w:sz w:val="20"/>
              </w:rPr>
            </w:pPr>
            <w:r>
              <w:rPr>
                <w:sz w:val="20"/>
              </w:rPr>
              <w:t>Rs. 2.158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30 June 2008</w:t>
            </w:r>
          </w:p>
        </w:tc>
        <w:tc>
          <w:tcPr>
            <w:tcW w:w="2430" w:type="dxa"/>
            <w:gridSpan w:val="3"/>
          </w:tcPr>
          <w:p w:rsidR="00030318" w:rsidRDefault="00030318" w:rsidP="00030318">
            <w:pPr>
              <w:pStyle w:val="TableParagraph"/>
              <w:spacing w:line="210" w:lineRule="exact"/>
              <w:ind w:left="105"/>
              <w:rPr>
                <w:sz w:val="20"/>
              </w:rPr>
            </w:pPr>
            <w:r>
              <w:rPr>
                <w:sz w:val="20"/>
              </w:rPr>
              <w:t>9.46%</w:t>
            </w:r>
          </w:p>
        </w:tc>
        <w:tc>
          <w:tcPr>
            <w:tcW w:w="2252" w:type="dxa"/>
          </w:tcPr>
          <w:p w:rsidR="00030318" w:rsidRDefault="00030318" w:rsidP="00030318">
            <w:pPr>
              <w:pStyle w:val="TableParagraph"/>
              <w:spacing w:line="210" w:lineRule="exact"/>
              <w:ind w:left="106"/>
              <w:rPr>
                <w:sz w:val="20"/>
              </w:rPr>
            </w:pPr>
            <w:r>
              <w:rPr>
                <w:sz w:val="20"/>
              </w:rPr>
              <w:t>Rs. 2.9794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30 June 2007</w:t>
            </w:r>
          </w:p>
        </w:tc>
        <w:tc>
          <w:tcPr>
            <w:tcW w:w="2430" w:type="dxa"/>
            <w:gridSpan w:val="3"/>
          </w:tcPr>
          <w:p w:rsidR="00030318" w:rsidRDefault="00030318" w:rsidP="00030318">
            <w:pPr>
              <w:pStyle w:val="TableParagraph"/>
              <w:spacing w:line="210" w:lineRule="exact"/>
              <w:ind w:left="105"/>
              <w:rPr>
                <w:sz w:val="20"/>
              </w:rPr>
            </w:pPr>
            <w:r>
              <w:rPr>
                <w:sz w:val="20"/>
              </w:rPr>
              <w:t>11.51%</w:t>
            </w:r>
          </w:p>
        </w:tc>
        <w:tc>
          <w:tcPr>
            <w:tcW w:w="2252" w:type="dxa"/>
          </w:tcPr>
          <w:p w:rsidR="00030318" w:rsidRDefault="00030318" w:rsidP="00030318">
            <w:pPr>
              <w:pStyle w:val="TableParagraph"/>
              <w:spacing w:line="210" w:lineRule="exact"/>
              <w:ind w:left="106"/>
              <w:rPr>
                <w:sz w:val="20"/>
              </w:rPr>
            </w:pPr>
            <w:r>
              <w:rPr>
                <w:sz w:val="20"/>
              </w:rPr>
              <w:t>Rs. 11.40 per unit</w:t>
            </w:r>
          </w:p>
        </w:tc>
      </w:tr>
      <w:tr w:rsidR="00030318" w:rsidTr="00030318">
        <w:trPr>
          <w:trHeight w:val="230"/>
        </w:trPr>
        <w:tc>
          <w:tcPr>
            <w:tcW w:w="3872" w:type="dxa"/>
          </w:tcPr>
          <w:p w:rsidR="00030318" w:rsidRDefault="00030318" w:rsidP="00030318">
            <w:pPr>
              <w:pStyle w:val="TableParagraph"/>
              <w:spacing w:line="210" w:lineRule="exact"/>
              <w:rPr>
                <w:sz w:val="20"/>
              </w:rPr>
            </w:pPr>
            <w:r>
              <w:rPr>
                <w:sz w:val="20"/>
              </w:rPr>
              <w:t>Year ended 30 June 2006 (since public launch)</w:t>
            </w:r>
          </w:p>
        </w:tc>
        <w:tc>
          <w:tcPr>
            <w:tcW w:w="2430" w:type="dxa"/>
            <w:gridSpan w:val="3"/>
          </w:tcPr>
          <w:p w:rsidR="00030318" w:rsidRDefault="00030318" w:rsidP="00030318">
            <w:pPr>
              <w:pStyle w:val="TableParagraph"/>
              <w:spacing w:line="210" w:lineRule="exact"/>
              <w:ind w:left="105"/>
              <w:rPr>
                <w:sz w:val="20"/>
              </w:rPr>
            </w:pPr>
            <w:r>
              <w:rPr>
                <w:sz w:val="20"/>
              </w:rPr>
              <w:t>9.88%</w:t>
            </w:r>
          </w:p>
        </w:tc>
        <w:tc>
          <w:tcPr>
            <w:tcW w:w="2252" w:type="dxa"/>
          </w:tcPr>
          <w:p w:rsidR="00030318" w:rsidRDefault="00030318" w:rsidP="00030318">
            <w:pPr>
              <w:pStyle w:val="TableParagraph"/>
              <w:spacing w:line="210" w:lineRule="exact"/>
              <w:ind w:left="106"/>
              <w:rPr>
                <w:sz w:val="20"/>
              </w:rPr>
            </w:pPr>
            <w:r>
              <w:rPr>
                <w:sz w:val="20"/>
              </w:rPr>
              <w:t>Rs. 9.25 per unit</w:t>
            </w:r>
          </w:p>
        </w:tc>
      </w:tr>
    </w:tbl>
    <w:p w:rsidR="00030318" w:rsidRDefault="00030318" w:rsidP="00030318">
      <w:pPr>
        <w:pStyle w:val="BodyText"/>
      </w:pPr>
    </w:p>
    <w:p w:rsidR="00030318" w:rsidRDefault="00030318" w:rsidP="00030318">
      <w:pPr>
        <w:pStyle w:val="BodyText"/>
        <w:spacing w:before="7"/>
      </w:pPr>
    </w:p>
    <w:p w:rsidR="00030318" w:rsidRDefault="00030318" w:rsidP="00030318">
      <w:pPr>
        <w:pStyle w:val="Heading5"/>
        <w:ind w:left="621"/>
      </w:pPr>
      <w:r>
        <w:t>UBL STOCK ADVANTAGE FUND (USF)</w:t>
      </w:r>
    </w:p>
    <w:p w:rsidR="00030318" w:rsidRDefault="00030318" w:rsidP="00030318">
      <w:pPr>
        <w:spacing w:before="1"/>
        <w:ind w:left="621"/>
        <w:rPr>
          <w:b/>
          <w:sz w:val="20"/>
        </w:rPr>
      </w:pPr>
      <w:r>
        <w:rPr>
          <w:b/>
          <w:sz w:val="20"/>
        </w:rPr>
        <w:t>(formerly United Stock Advantage Fund)</w:t>
      </w:r>
    </w:p>
    <w:p w:rsidR="00030318" w:rsidRDefault="00030318" w:rsidP="00030318">
      <w:pPr>
        <w:pStyle w:val="BodyText"/>
        <w:rPr>
          <w:b/>
        </w:rPr>
      </w:pPr>
    </w:p>
    <w:p w:rsidR="00030318" w:rsidRDefault="00030318" w:rsidP="00030318">
      <w:pPr>
        <w:pStyle w:val="BodyText"/>
        <w:ind w:left="621" w:right="904"/>
        <w:jc w:val="both"/>
      </w:pPr>
      <w:r>
        <w:t xml:space="preserve">USF is UBL Funds’ first open-end equity fund which was launched in August 2006. The investment objective of the fund is to provide investors long-term capital appreciation through investing in a </w:t>
      </w:r>
      <w:proofErr w:type="gramStart"/>
      <w:r>
        <w:t>mix  of</w:t>
      </w:r>
      <w:proofErr w:type="gramEnd"/>
      <w:r>
        <w:t xml:space="preserve"> equities that offer both capital gain and divid6.8Bn (2.5%) which is built into the offer</w:t>
      </w:r>
      <w:r>
        <w:rPr>
          <w:spacing w:val="-13"/>
        </w:rPr>
        <w:t xml:space="preserve"> </w:t>
      </w:r>
      <w:r>
        <w:t>price.</w:t>
      </w:r>
    </w:p>
    <w:p w:rsidR="00030318" w:rsidRDefault="00030318" w:rsidP="00030318">
      <w:pPr>
        <w:pStyle w:val="BodyText"/>
        <w:spacing w:before="3"/>
      </w:pPr>
    </w:p>
    <w:tbl>
      <w:tblPr>
        <w:tblW w:w="0" w:type="auto"/>
        <w:tblInd w:w="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1"/>
        <w:gridCol w:w="1726"/>
        <w:gridCol w:w="707"/>
        <w:gridCol w:w="2430"/>
      </w:tblGrid>
      <w:tr w:rsidR="00030318" w:rsidTr="00030318">
        <w:trPr>
          <w:trHeight w:val="229"/>
        </w:trPr>
        <w:tc>
          <w:tcPr>
            <w:tcW w:w="4321" w:type="dxa"/>
          </w:tcPr>
          <w:p w:rsidR="00030318" w:rsidRDefault="00030318" w:rsidP="00030318">
            <w:pPr>
              <w:pStyle w:val="TableParagraph"/>
              <w:spacing w:line="210" w:lineRule="exact"/>
              <w:rPr>
                <w:sz w:val="20"/>
              </w:rPr>
            </w:pPr>
            <w:r>
              <w:rPr>
                <w:sz w:val="20"/>
              </w:rPr>
              <w:t>Date of launching</w:t>
            </w:r>
          </w:p>
        </w:tc>
        <w:tc>
          <w:tcPr>
            <w:tcW w:w="2433" w:type="dxa"/>
            <w:gridSpan w:val="2"/>
          </w:tcPr>
          <w:p w:rsidR="00030318" w:rsidRDefault="00030318" w:rsidP="00030318">
            <w:pPr>
              <w:pStyle w:val="TableParagraph"/>
              <w:spacing w:line="210" w:lineRule="exact"/>
              <w:rPr>
                <w:sz w:val="20"/>
              </w:rPr>
            </w:pPr>
            <w:r>
              <w:rPr>
                <w:sz w:val="20"/>
              </w:rPr>
              <w:t>4 August 2006</w:t>
            </w:r>
          </w:p>
        </w:tc>
        <w:tc>
          <w:tcPr>
            <w:tcW w:w="2430" w:type="dxa"/>
          </w:tcPr>
          <w:p w:rsidR="00030318" w:rsidRDefault="00030318" w:rsidP="00030318">
            <w:pPr>
              <w:pStyle w:val="TableParagraph"/>
              <w:ind w:left="0"/>
              <w:rPr>
                <w:rFonts w:ascii="Times New Roman"/>
                <w:sz w:val="16"/>
              </w:rPr>
            </w:pPr>
          </w:p>
        </w:tc>
      </w:tr>
      <w:tr w:rsidR="00030318" w:rsidTr="00030318">
        <w:trPr>
          <w:trHeight w:val="231"/>
        </w:trPr>
        <w:tc>
          <w:tcPr>
            <w:tcW w:w="4321" w:type="dxa"/>
          </w:tcPr>
          <w:p w:rsidR="00030318" w:rsidRDefault="00030318" w:rsidP="00030318">
            <w:pPr>
              <w:pStyle w:val="TableParagraph"/>
              <w:spacing w:line="212" w:lineRule="exact"/>
              <w:rPr>
                <w:sz w:val="20"/>
              </w:rPr>
            </w:pPr>
            <w:r>
              <w:rPr>
                <w:sz w:val="20"/>
              </w:rPr>
              <w:t>Par Value of units</w:t>
            </w:r>
          </w:p>
        </w:tc>
        <w:tc>
          <w:tcPr>
            <w:tcW w:w="2433" w:type="dxa"/>
            <w:gridSpan w:val="2"/>
          </w:tcPr>
          <w:p w:rsidR="00030318" w:rsidRDefault="00030318" w:rsidP="00030318">
            <w:pPr>
              <w:pStyle w:val="TableParagraph"/>
              <w:spacing w:line="212" w:lineRule="exact"/>
              <w:rPr>
                <w:sz w:val="20"/>
              </w:rPr>
            </w:pPr>
            <w:r>
              <w:rPr>
                <w:sz w:val="20"/>
              </w:rPr>
              <w:t>Rs. 100</w:t>
            </w:r>
          </w:p>
        </w:tc>
        <w:tc>
          <w:tcPr>
            <w:tcW w:w="2430" w:type="dxa"/>
          </w:tcPr>
          <w:p w:rsidR="00030318" w:rsidRDefault="00030318" w:rsidP="00030318">
            <w:pPr>
              <w:pStyle w:val="TableParagraph"/>
              <w:ind w:left="0"/>
              <w:rPr>
                <w:rFonts w:ascii="Times New Roman"/>
                <w:sz w:val="16"/>
              </w:rPr>
            </w:pPr>
          </w:p>
        </w:tc>
      </w:tr>
      <w:tr w:rsidR="00030318" w:rsidTr="00030318">
        <w:trPr>
          <w:trHeight w:val="220"/>
        </w:trPr>
        <w:tc>
          <w:tcPr>
            <w:tcW w:w="4321" w:type="dxa"/>
            <w:tcBorders>
              <w:bottom w:val="nil"/>
            </w:tcBorders>
          </w:tcPr>
          <w:p w:rsidR="00030318" w:rsidRDefault="00030318" w:rsidP="00030318">
            <w:pPr>
              <w:pStyle w:val="TableParagraph"/>
              <w:spacing w:line="201" w:lineRule="exact"/>
              <w:rPr>
                <w:sz w:val="20"/>
              </w:rPr>
            </w:pPr>
            <w:r w:rsidRPr="00E65CA8">
              <w:rPr>
                <w:sz w:val="20"/>
              </w:rPr>
              <w:t>Net Assets (as at Feb 19 2019)</w:t>
            </w:r>
          </w:p>
        </w:tc>
        <w:tc>
          <w:tcPr>
            <w:tcW w:w="2433" w:type="dxa"/>
            <w:gridSpan w:val="2"/>
            <w:tcBorders>
              <w:bottom w:val="nil"/>
            </w:tcBorders>
          </w:tcPr>
          <w:p w:rsidR="00030318" w:rsidRDefault="00030318" w:rsidP="00030318">
            <w:pPr>
              <w:pStyle w:val="TableParagraph"/>
              <w:spacing w:line="201" w:lineRule="exact"/>
              <w:rPr>
                <w:sz w:val="20"/>
              </w:rPr>
            </w:pPr>
            <w:r>
              <w:rPr>
                <w:sz w:val="20"/>
              </w:rPr>
              <w:t>Rs. 6,568 million</w:t>
            </w:r>
          </w:p>
        </w:tc>
        <w:tc>
          <w:tcPr>
            <w:tcW w:w="2430" w:type="dxa"/>
          </w:tcPr>
          <w:p w:rsidR="00030318" w:rsidRDefault="00030318" w:rsidP="00030318">
            <w:pPr>
              <w:pStyle w:val="TableParagraph"/>
              <w:ind w:left="0"/>
              <w:rPr>
                <w:rFonts w:ascii="Times New Roman"/>
                <w:sz w:val="18"/>
              </w:rPr>
            </w:pPr>
          </w:p>
        </w:tc>
      </w:tr>
      <w:tr w:rsidR="00030318" w:rsidTr="00030318">
        <w:trPr>
          <w:trHeight w:val="220"/>
        </w:trPr>
        <w:tc>
          <w:tcPr>
            <w:tcW w:w="4321" w:type="dxa"/>
            <w:tcBorders>
              <w:bottom w:val="nil"/>
            </w:tcBorders>
          </w:tcPr>
          <w:p w:rsidR="00030318" w:rsidRDefault="00030318" w:rsidP="00030318">
            <w:pPr>
              <w:pStyle w:val="TableParagraph"/>
              <w:spacing w:line="201" w:lineRule="exact"/>
              <w:rPr>
                <w:sz w:val="20"/>
              </w:rPr>
            </w:pPr>
            <w:r>
              <w:rPr>
                <w:sz w:val="20"/>
              </w:rPr>
              <w:t>Net Assets (as at June 30 2018)</w:t>
            </w:r>
          </w:p>
        </w:tc>
        <w:tc>
          <w:tcPr>
            <w:tcW w:w="2433" w:type="dxa"/>
            <w:gridSpan w:val="2"/>
            <w:tcBorders>
              <w:bottom w:val="nil"/>
            </w:tcBorders>
          </w:tcPr>
          <w:p w:rsidR="00030318" w:rsidRDefault="00030318" w:rsidP="00030318">
            <w:pPr>
              <w:pStyle w:val="TableParagraph"/>
              <w:spacing w:line="201" w:lineRule="exact"/>
              <w:rPr>
                <w:sz w:val="20"/>
              </w:rPr>
            </w:pPr>
            <w:r>
              <w:rPr>
                <w:sz w:val="20"/>
              </w:rPr>
              <w:t>Rs. 6.8Bn</w:t>
            </w:r>
          </w:p>
        </w:tc>
        <w:tc>
          <w:tcPr>
            <w:tcW w:w="2430" w:type="dxa"/>
          </w:tcPr>
          <w:p w:rsidR="00030318" w:rsidRDefault="00030318" w:rsidP="00030318">
            <w:pPr>
              <w:pStyle w:val="TableParagraph"/>
              <w:ind w:left="0"/>
              <w:rPr>
                <w:rFonts w:ascii="Times New Roman"/>
                <w:sz w:val="18"/>
              </w:rPr>
            </w:pPr>
          </w:p>
        </w:tc>
      </w:tr>
      <w:tr w:rsidR="00030318" w:rsidTr="00030318">
        <w:trPr>
          <w:trHeight w:val="220"/>
        </w:trPr>
        <w:tc>
          <w:tcPr>
            <w:tcW w:w="4321" w:type="dxa"/>
            <w:tcBorders>
              <w:bottom w:val="nil"/>
            </w:tcBorders>
          </w:tcPr>
          <w:p w:rsidR="00030318" w:rsidRDefault="00030318" w:rsidP="00030318">
            <w:pPr>
              <w:pStyle w:val="TableParagraph"/>
              <w:spacing w:line="201" w:lineRule="exact"/>
              <w:rPr>
                <w:sz w:val="20"/>
              </w:rPr>
            </w:pPr>
            <w:r>
              <w:rPr>
                <w:sz w:val="20"/>
              </w:rPr>
              <w:t>Net Assets (as at June 30 2017)</w:t>
            </w:r>
          </w:p>
        </w:tc>
        <w:tc>
          <w:tcPr>
            <w:tcW w:w="2433" w:type="dxa"/>
            <w:gridSpan w:val="2"/>
            <w:tcBorders>
              <w:bottom w:val="nil"/>
            </w:tcBorders>
          </w:tcPr>
          <w:p w:rsidR="00030318" w:rsidRDefault="00030318" w:rsidP="00030318">
            <w:pPr>
              <w:pStyle w:val="TableParagraph"/>
              <w:spacing w:line="201" w:lineRule="exact"/>
              <w:rPr>
                <w:sz w:val="20"/>
              </w:rPr>
            </w:pPr>
            <w:r>
              <w:rPr>
                <w:sz w:val="20"/>
              </w:rPr>
              <w:t>Rs. 7,872 Million</w:t>
            </w:r>
          </w:p>
        </w:tc>
        <w:tc>
          <w:tcPr>
            <w:tcW w:w="2430"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4321" w:type="dxa"/>
            <w:tcBorders>
              <w:top w:val="nil"/>
              <w:bottom w:val="nil"/>
            </w:tcBorders>
          </w:tcPr>
          <w:p w:rsidR="00030318" w:rsidRDefault="00030318" w:rsidP="00030318">
            <w:pPr>
              <w:pStyle w:val="TableParagraph"/>
              <w:spacing w:line="191" w:lineRule="exact"/>
              <w:rPr>
                <w:sz w:val="20"/>
              </w:rPr>
            </w:pPr>
            <w:r>
              <w:rPr>
                <w:sz w:val="20"/>
              </w:rPr>
              <w:t>Net Assets (as at June 30 2016)</w:t>
            </w:r>
          </w:p>
        </w:tc>
        <w:tc>
          <w:tcPr>
            <w:tcW w:w="2433" w:type="dxa"/>
            <w:gridSpan w:val="2"/>
            <w:tcBorders>
              <w:top w:val="nil"/>
              <w:bottom w:val="nil"/>
            </w:tcBorders>
          </w:tcPr>
          <w:p w:rsidR="00030318" w:rsidRDefault="00030318" w:rsidP="00030318">
            <w:pPr>
              <w:pStyle w:val="TableParagraph"/>
              <w:spacing w:line="191" w:lineRule="exact"/>
              <w:rPr>
                <w:sz w:val="20"/>
              </w:rPr>
            </w:pPr>
            <w:r>
              <w:rPr>
                <w:sz w:val="20"/>
              </w:rPr>
              <w:t>Rs. 3,492 Million</w:t>
            </w:r>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Net Assets (as at June 30 2015)</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 xml:space="preserve">Rs. 3,985 </w:t>
            </w:r>
            <w:proofErr w:type="spellStart"/>
            <w:r>
              <w:rPr>
                <w:sz w:val="20"/>
              </w:rPr>
              <w:t>Milllion</w:t>
            </w:r>
            <w:proofErr w:type="spellEnd"/>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Net Assets (as at June 30 2014)</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Rs. 4,059 Million</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lastRenderedPageBreak/>
              <w:t>Net Assets (as at 30 June 2013)</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1,557 Million</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Net Assets (as at 30 June 2012)</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1,392 Million</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Net Assets (as at 30 June 2011)</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1,293 Million</w:t>
            </w:r>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Net Assets (as at 30 June 2010)</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Rs. 1,042 Million</w:t>
            </w:r>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Net Assets (as at 30 June 2009)</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Rs. 1,649 Million</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Net Assets (as at 30 June 2008)</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2,521 Million</w:t>
            </w:r>
          </w:p>
        </w:tc>
        <w:tc>
          <w:tcPr>
            <w:tcW w:w="2430" w:type="dxa"/>
            <w:vMerge/>
            <w:tcBorders>
              <w:top w:val="nil"/>
            </w:tcBorders>
          </w:tcPr>
          <w:p w:rsidR="00030318" w:rsidRDefault="00030318" w:rsidP="00030318">
            <w:pPr>
              <w:rPr>
                <w:sz w:val="2"/>
                <w:szCs w:val="2"/>
              </w:rPr>
            </w:pPr>
          </w:p>
        </w:tc>
      </w:tr>
      <w:tr w:rsidR="00030318" w:rsidTr="00030318">
        <w:trPr>
          <w:trHeight w:val="219"/>
        </w:trPr>
        <w:tc>
          <w:tcPr>
            <w:tcW w:w="4321" w:type="dxa"/>
            <w:tcBorders>
              <w:top w:val="nil"/>
            </w:tcBorders>
          </w:tcPr>
          <w:p w:rsidR="00030318" w:rsidRDefault="00030318" w:rsidP="00030318">
            <w:pPr>
              <w:pStyle w:val="TableParagraph"/>
              <w:spacing w:line="199" w:lineRule="exact"/>
              <w:rPr>
                <w:sz w:val="20"/>
              </w:rPr>
            </w:pPr>
            <w:r>
              <w:rPr>
                <w:sz w:val="20"/>
              </w:rPr>
              <w:t>Net Assets (as at 30 June 2007)</w:t>
            </w:r>
          </w:p>
        </w:tc>
        <w:tc>
          <w:tcPr>
            <w:tcW w:w="2433" w:type="dxa"/>
            <w:gridSpan w:val="2"/>
            <w:tcBorders>
              <w:top w:val="nil"/>
            </w:tcBorders>
          </w:tcPr>
          <w:p w:rsidR="00030318" w:rsidRDefault="00030318" w:rsidP="00030318">
            <w:pPr>
              <w:pStyle w:val="TableParagraph"/>
              <w:spacing w:line="199" w:lineRule="exact"/>
              <w:rPr>
                <w:sz w:val="20"/>
              </w:rPr>
            </w:pPr>
            <w:r>
              <w:rPr>
                <w:sz w:val="20"/>
              </w:rPr>
              <w:t>Rs. 1,254 Million</w:t>
            </w:r>
          </w:p>
        </w:tc>
        <w:tc>
          <w:tcPr>
            <w:tcW w:w="2430" w:type="dxa"/>
            <w:vMerge/>
            <w:tcBorders>
              <w:top w:val="nil"/>
            </w:tcBorders>
          </w:tcPr>
          <w:p w:rsidR="00030318" w:rsidRDefault="00030318" w:rsidP="00030318">
            <w:pPr>
              <w:rPr>
                <w:sz w:val="2"/>
                <w:szCs w:val="2"/>
              </w:rPr>
            </w:pPr>
          </w:p>
        </w:tc>
      </w:tr>
      <w:tr w:rsidR="00030318" w:rsidTr="00030318">
        <w:trPr>
          <w:trHeight w:val="220"/>
        </w:trPr>
        <w:tc>
          <w:tcPr>
            <w:tcW w:w="4321" w:type="dxa"/>
            <w:tcBorders>
              <w:bottom w:val="nil"/>
            </w:tcBorders>
          </w:tcPr>
          <w:p w:rsidR="00030318" w:rsidRDefault="00030318" w:rsidP="00030318">
            <w:pPr>
              <w:pStyle w:val="TableParagraph"/>
              <w:spacing w:line="201" w:lineRule="exact"/>
              <w:rPr>
                <w:sz w:val="20"/>
              </w:rPr>
            </w:pPr>
            <w:r w:rsidRPr="00E65CA8">
              <w:rPr>
                <w:sz w:val="20"/>
              </w:rPr>
              <w:t>NAV (as at Feb 19, 2019)</w:t>
            </w:r>
          </w:p>
        </w:tc>
        <w:tc>
          <w:tcPr>
            <w:tcW w:w="2433" w:type="dxa"/>
            <w:gridSpan w:val="2"/>
            <w:tcBorders>
              <w:bottom w:val="nil"/>
            </w:tcBorders>
          </w:tcPr>
          <w:p w:rsidR="00030318" w:rsidRDefault="00030318" w:rsidP="00030318">
            <w:pPr>
              <w:pStyle w:val="TableParagraph"/>
              <w:spacing w:line="201" w:lineRule="exact"/>
              <w:rPr>
                <w:sz w:val="20"/>
              </w:rPr>
            </w:pPr>
            <w:r>
              <w:rPr>
                <w:sz w:val="20"/>
              </w:rPr>
              <w:t>Rs. 67.50</w:t>
            </w:r>
          </w:p>
        </w:tc>
        <w:tc>
          <w:tcPr>
            <w:tcW w:w="2430" w:type="dxa"/>
          </w:tcPr>
          <w:p w:rsidR="00030318" w:rsidRDefault="00030318" w:rsidP="00030318">
            <w:pPr>
              <w:pStyle w:val="TableParagraph"/>
              <w:ind w:left="0"/>
              <w:rPr>
                <w:rFonts w:ascii="Times New Roman"/>
                <w:sz w:val="18"/>
              </w:rPr>
            </w:pPr>
          </w:p>
        </w:tc>
      </w:tr>
      <w:tr w:rsidR="00030318" w:rsidTr="00030318">
        <w:trPr>
          <w:trHeight w:val="220"/>
        </w:trPr>
        <w:tc>
          <w:tcPr>
            <w:tcW w:w="4321" w:type="dxa"/>
            <w:tcBorders>
              <w:bottom w:val="nil"/>
            </w:tcBorders>
          </w:tcPr>
          <w:p w:rsidR="00030318" w:rsidRDefault="00030318" w:rsidP="00030318">
            <w:pPr>
              <w:pStyle w:val="TableParagraph"/>
              <w:spacing w:line="201" w:lineRule="exact"/>
              <w:rPr>
                <w:sz w:val="20"/>
              </w:rPr>
            </w:pPr>
            <w:r>
              <w:rPr>
                <w:sz w:val="20"/>
              </w:rPr>
              <w:t>NAV (as at June 30 2017)</w:t>
            </w:r>
          </w:p>
        </w:tc>
        <w:tc>
          <w:tcPr>
            <w:tcW w:w="2433" w:type="dxa"/>
            <w:gridSpan w:val="2"/>
            <w:tcBorders>
              <w:bottom w:val="nil"/>
            </w:tcBorders>
          </w:tcPr>
          <w:p w:rsidR="00030318" w:rsidRDefault="00030318" w:rsidP="00030318">
            <w:pPr>
              <w:pStyle w:val="TableParagraph"/>
              <w:spacing w:line="201" w:lineRule="exact"/>
              <w:rPr>
                <w:sz w:val="20"/>
              </w:rPr>
            </w:pPr>
            <w:r>
              <w:rPr>
                <w:sz w:val="20"/>
              </w:rPr>
              <w:t>Rs. 76.23</w:t>
            </w:r>
          </w:p>
        </w:tc>
        <w:tc>
          <w:tcPr>
            <w:tcW w:w="2430"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NAV (as at June 30 2016)</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62.78</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1" w:lineRule="exact"/>
              <w:rPr>
                <w:sz w:val="20"/>
              </w:rPr>
            </w:pPr>
            <w:r>
              <w:rPr>
                <w:sz w:val="20"/>
              </w:rPr>
              <w:t>NAV (as at June 30 2015)</w:t>
            </w:r>
          </w:p>
        </w:tc>
        <w:tc>
          <w:tcPr>
            <w:tcW w:w="2433" w:type="dxa"/>
            <w:gridSpan w:val="2"/>
            <w:tcBorders>
              <w:top w:val="nil"/>
              <w:bottom w:val="nil"/>
            </w:tcBorders>
          </w:tcPr>
          <w:p w:rsidR="00030318" w:rsidRDefault="00030318" w:rsidP="00030318">
            <w:pPr>
              <w:pStyle w:val="TableParagraph"/>
              <w:spacing w:line="191" w:lineRule="exact"/>
              <w:rPr>
                <w:sz w:val="20"/>
              </w:rPr>
            </w:pPr>
            <w:r>
              <w:rPr>
                <w:sz w:val="20"/>
              </w:rPr>
              <w:t>Rs. 56.85</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1" w:lineRule="exact"/>
              <w:rPr>
                <w:sz w:val="20"/>
              </w:rPr>
            </w:pPr>
            <w:r>
              <w:rPr>
                <w:sz w:val="20"/>
              </w:rPr>
              <w:t>NAV (as at June 30 2014)</w:t>
            </w:r>
          </w:p>
        </w:tc>
        <w:tc>
          <w:tcPr>
            <w:tcW w:w="2433" w:type="dxa"/>
            <w:gridSpan w:val="2"/>
            <w:tcBorders>
              <w:top w:val="nil"/>
              <w:bottom w:val="nil"/>
            </w:tcBorders>
          </w:tcPr>
          <w:p w:rsidR="00030318" w:rsidRDefault="00030318" w:rsidP="00030318">
            <w:pPr>
              <w:pStyle w:val="TableParagraph"/>
              <w:spacing w:line="191" w:lineRule="exact"/>
              <w:rPr>
                <w:sz w:val="20"/>
              </w:rPr>
            </w:pPr>
            <w:r>
              <w:rPr>
                <w:sz w:val="20"/>
              </w:rPr>
              <w:t>Rs. 47.09</w:t>
            </w:r>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NAV (as at 30 June 2013)</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Rs. 53.42</w:t>
            </w:r>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NAV (as at 30 June 2012)</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Rs. 44.81</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NAV (as at 30 June 2012)</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39.18</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NAV (as at 30 June 2011)</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43.28</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NAV (as at 30 June 2010)</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80.36</w:t>
            </w:r>
          </w:p>
        </w:tc>
        <w:tc>
          <w:tcPr>
            <w:tcW w:w="2430" w:type="dxa"/>
            <w:vMerge/>
            <w:tcBorders>
              <w:top w:val="nil"/>
            </w:tcBorders>
          </w:tcPr>
          <w:p w:rsidR="00030318" w:rsidRDefault="00030318" w:rsidP="00030318">
            <w:pPr>
              <w:rPr>
                <w:sz w:val="2"/>
                <w:szCs w:val="2"/>
              </w:rPr>
            </w:pPr>
          </w:p>
        </w:tc>
      </w:tr>
      <w:tr w:rsidR="00030318" w:rsidTr="00030318">
        <w:trPr>
          <w:trHeight w:val="210"/>
        </w:trPr>
        <w:tc>
          <w:tcPr>
            <w:tcW w:w="4321" w:type="dxa"/>
            <w:tcBorders>
              <w:top w:val="nil"/>
              <w:bottom w:val="nil"/>
            </w:tcBorders>
          </w:tcPr>
          <w:p w:rsidR="00030318" w:rsidRDefault="00030318" w:rsidP="00030318">
            <w:pPr>
              <w:pStyle w:val="TableParagraph"/>
              <w:spacing w:line="190" w:lineRule="exact"/>
              <w:rPr>
                <w:sz w:val="20"/>
              </w:rPr>
            </w:pPr>
            <w:r>
              <w:rPr>
                <w:sz w:val="20"/>
              </w:rPr>
              <w:t>NAV (as at 30 June 2009)</w:t>
            </w:r>
          </w:p>
        </w:tc>
        <w:tc>
          <w:tcPr>
            <w:tcW w:w="2433" w:type="dxa"/>
            <w:gridSpan w:val="2"/>
            <w:tcBorders>
              <w:top w:val="nil"/>
              <w:bottom w:val="nil"/>
            </w:tcBorders>
          </w:tcPr>
          <w:p w:rsidR="00030318" w:rsidRDefault="00030318" w:rsidP="00030318">
            <w:pPr>
              <w:pStyle w:val="TableParagraph"/>
              <w:spacing w:line="190" w:lineRule="exact"/>
              <w:rPr>
                <w:sz w:val="20"/>
              </w:rPr>
            </w:pPr>
            <w:r>
              <w:rPr>
                <w:sz w:val="20"/>
              </w:rPr>
              <w:t>Rs. 64.75</w:t>
            </w:r>
          </w:p>
        </w:tc>
        <w:tc>
          <w:tcPr>
            <w:tcW w:w="2430" w:type="dxa"/>
            <w:vMerge/>
            <w:tcBorders>
              <w:top w:val="nil"/>
            </w:tcBorders>
          </w:tcPr>
          <w:p w:rsidR="00030318" w:rsidRDefault="00030318" w:rsidP="00030318">
            <w:pPr>
              <w:rPr>
                <w:sz w:val="2"/>
                <w:szCs w:val="2"/>
              </w:rPr>
            </w:pPr>
          </w:p>
        </w:tc>
      </w:tr>
      <w:tr w:rsidR="00030318" w:rsidTr="00030318">
        <w:trPr>
          <w:trHeight w:val="209"/>
        </w:trPr>
        <w:tc>
          <w:tcPr>
            <w:tcW w:w="4321" w:type="dxa"/>
            <w:tcBorders>
              <w:top w:val="nil"/>
              <w:bottom w:val="nil"/>
            </w:tcBorders>
          </w:tcPr>
          <w:p w:rsidR="00030318" w:rsidRDefault="00030318" w:rsidP="00030318">
            <w:pPr>
              <w:pStyle w:val="TableParagraph"/>
              <w:spacing w:line="189" w:lineRule="exact"/>
              <w:rPr>
                <w:sz w:val="20"/>
              </w:rPr>
            </w:pPr>
            <w:r>
              <w:rPr>
                <w:sz w:val="20"/>
              </w:rPr>
              <w:t>NAV (as at 30 June 2008)</w:t>
            </w:r>
          </w:p>
        </w:tc>
        <w:tc>
          <w:tcPr>
            <w:tcW w:w="2433" w:type="dxa"/>
            <w:gridSpan w:val="2"/>
            <w:tcBorders>
              <w:top w:val="nil"/>
              <w:bottom w:val="nil"/>
            </w:tcBorders>
          </w:tcPr>
          <w:p w:rsidR="00030318" w:rsidRDefault="00030318" w:rsidP="00030318">
            <w:pPr>
              <w:pStyle w:val="TableParagraph"/>
              <w:spacing w:line="189" w:lineRule="exact"/>
              <w:rPr>
                <w:sz w:val="20"/>
              </w:rPr>
            </w:pPr>
            <w:r>
              <w:rPr>
                <w:sz w:val="20"/>
              </w:rPr>
              <w:t>Rs. 1039.01</w:t>
            </w:r>
          </w:p>
        </w:tc>
        <w:tc>
          <w:tcPr>
            <w:tcW w:w="2430" w:type="dxa"/>
            <w:vMerge/>
            <w:tcBorders>
              <w:top w:val="nil"/>
            </w:tcBorders>
          </w:tcPr>
          <w:p w:rsidR="00030318" w:rsidRDefault="00030318" w:rsidP="00030318">
            <w:pPr>
              <w:rPr>
                <w:sz w:val="2"/>
                <w:szCs w:val="2"/>
              </w:rPr>
            </w:pPr>
          </w:p>
        </w:tc>
      </w:tr>
      <w:tr w:rsidR="00030318" w:rsidTr="00030318">
        <w:trPr>
          <w:trHeight w:val="218"/>
        </w:trPr>
        <w:tc>
          <w:tcPr>
            <w:tcW w:w="4321" w:type="dxa"/>
            <w:tcBorders>
              <w:top w:val="nil"/>
            </w:tcBorders>
          </w:tcPr>
          <w:p w:rsidR="00030318" w:rsidRDefault="00030318" w:rsidP="00030318">
            <w:pPr>
              <w:pStyle w:val="TableParagraph"/>
              <w:spacing w:line="198" w:lineRule="exact"/>
              <w:rPr>
                <w:sz w:val="20"/>
              </w:rPr>
            </w:pPr>
            <w:r>
              <w:rPr>
                <w:sz w:val="20"/>
              </w:rPr>
              <w:t>NAV (as at 30 June 2007)</w:t>
            </w:r>
          </w:p>
        </w:tc>
        <w:tc>
          <w:tcPr>
            <w:tcW w:w="2433" w:type="dxa"/>
            <w:gridSpan w:val="2"/>
            <w:tcBorders>
              <w:top w:val="nil"/>
            </w:tcBorders>
          </w:tcPr>
          <w:p w:rsidR="00030318" w:rsidRDefault="00030318" w:rsidP="00030318">
            <w:pPr>
              <w:pStyle w:val="TableParagraph"/>
              <w:spacing w:line="198" w:lineRule="exact"/>
              <w:rPr>
                <w:sz w:val="20"/>
              </w:rPr>
            </w:pPr>
            <w:r>
              <w:rPr>
                <w:sz w:val="20"/>
              </w:rPr>
              <w:t>Rs. 129.73</w:t>
            </w:r>
          </w:p>
        </w:tc>
        <w:tc>
          <w:tcPr>
            <w:tcW w:w="2430" w:type="dxa"/>
            <w:vMerge/>
            <w:tcBorders>
              <w:top w:val="nil"/>
            </w:tcBorders>
          </w:tcPr>
          <w:p w:rsidR="00030318" w:rsidRDefault="00030318" w:rsidP="00030318">
            <w:pPr>
              <w:rPr>
                <w:sz w:val="2"/>
                <w:szCs w:val="2"/>
              </w:rPr>
            </w:pPr>
          </w:p>
        </w:tc>
      </w:tr>
      <w:tr w:rsidR="00030318" w:rsidTr="00030318">
        <w:trPr>
          <w:trHeight w:val="460"/>
        </w:trPr>
        <w:tc>
          <w:tcPr>
            <w:tcW w:w="4321" w:type="dxa"/>
          </w:tcPr>
          <w:p w:rsidR="00030318" w:rsidRDefault="00030318" w:rsidP="00030318">
            <w:pPr>
              <w:pStyle w:val="TableParagraph"/>
              <w:spacing w:before="112"/>
              <w:rPr>
                <w:sz w:val="20"/>
              </w:rPr>
            </w:pPr>
            <w:r>
              <w:rPr>
                <w:sz w:val="20"/>
              </w:rPr>
              <w:t>Listing</w:t>
            </w:r>
          </w:p>
        </w:tc>
        <w:tc>
          <w:tcPr>
            <w:tcW w:w="1726" w:type="dxa"/>
            <w:tcBorders>
              <w:right w:val="nil"/>
            </w:tcBorders>
          </w:tcPr>
          <w:p w:rsidR="00030318" w:rsidRDefault="00030318" w:rsidP="00030318">
            <w:pPr>
              <w:pStyle w:val="TableParagraph"/>
              <w:spacing w:before="4" w:line="228" w:lineRule="exact"/>
              <w:ind w:right="16"/>
              <w:rPr>
                <w:sz w:val="20"/>
              </w:rPr>
            </w:pPr>
            <w:r>
              <w:rPr>
                <w:sz w:val="20"/>
              </w:rPr>
              <w:t xml:space="preserve">Pakistan </w:t>
            </w:r>
            <w:r>
              <w:rPr>
                <w:w w:val="95"/>
                <w:sz w:val="20"/>
              </w:rPr>
              <w:t>Exchange</w:t>
            </w:r>
          </w:p>
        </w:tc>
        <w:tc>
          <w:tcPr>
            <w:tcW w:w="707" w:type="dxa"/>
            <w:tcBorders>
              <w:left w:val="nil"/>
            </w:tcBorders>
          </w:tcPr>
          <w:p w:rsidR="00030318" w:rsidRDefault="00030318" w:rsidP="00030318">
            <w:pPr>
              <w:pStyle w:val="TableParagraph"/>
              <w:spacing w:line="229" w:lineRule="exact"/>
              <w:ind w:left="104"/>
              <w:rPr>
                <w:sz w:val="20"/>
              </w:rPr>
            </w:pPr>
            <w:r>
              <w:rPr>
                <w:sz w:val="20"/>
              </w:rPr>
              <w:t>Stock</w:t>
            </w:r>
          </w:p>
        </w:tc>
        <w:tc>
          <w:tcPr>
            <w:tcW w:w="2430" w:type="dxa"/>
          </w:tcPr>
          <w:p w:rsidR="00030318" w:rsidRDefault="00030318" w:rsidP="00030318">
            <w:pPr>
              <w:pStyle w:val="TableParagraph"/>
              <w:ind w:left="0"/>
              <w:rPr>
                <w:rFonts w:ascii="Times New Roman"/>
                <w:sz w:val="18"/>
              </w:rPr>
            </w:pPr>
          </w:p>
        </w:tc>
      </w:tr>
      <w:tr w:rsidR="00030318" w:rsidTr="00030318">
        <w:trPr>
          <w:trHeight w:val="460"/>
        </w:trPr>
        <w:tc>
          <w:tcPr>
            <w:tcW w:w="4321" w:type="dxa"/>
          </w:tcPr>
          <w:p w:rsidR="00030318" w:rsidRDefault="00030318" w:rsidP="00030318">
            <w:pPr>
              <w:pStyle w:val="TableParagraph"/>
              <w:spacing w:line="228" w:lineRule="exact"/>
              <w:rPr>
                <w:sz w:val="20"/>
              </w:rPr>
            </w:pPr>
            <w:r>
              <w:rPr>
                <w:sz w:val="20"/>
              </w:rPr>
              <w:t>Fund Rating:</w:t>
            </w:r>
          </w:p>
          <w:p w:rsidR="00030318" w:rsidRDefault="00030318" w:rsidP="00030318">
            <w:pPr>
              <w:pStyle w:val="TableParagraph"/>
              <w:spacing w:line="212" w:lineRule="exact"/>
              <w:rPr>
                <w:sz w:val="20"/>
              </w:rPr>
            </w:pPr>
            <w:r>
              <w:rPr>
                <w:sz w:val="20"/>
              </w:rPr>
              <w:t>(Credit Rating Agency: JCR-VIS)</w:t>
            </w:r>
          </w:p>
        </w:tc>
        <w:tc>
          <w:tcPr>
            <w:tcW w:w="2433" w:type="dxa"/>
            <w:gridSpan w:val="2"/>
          </w:tcPr>
          <w:p w:rsidR="00030318" w:rsidRDefault="00030318" w:rsidP="00030318">
            <w:pPr>
              <w:pStyle w:val="TableParagraph"/>
              <w:spacing w:line="228" w:lineRule="exact"/>
              <w:rPr>
                <w:sz w:val="20"/>
              </w:rPr>
            </w:pPr>
            <w:r>
              <w:rPr>
                <w:sz w:val="20"/>
              </w:rPr>
              <w:t>MFR 3-Star (JCR-VIS)</w:t>
            </w:r>
          </w:p>
          <w:p w:rsidR="00030318" w:rsidRDefault="00030318" w:rsidP="00030318">
            <w:pPr>
              <w:pStyle w:val="TableParagraph"/>
              <w:spacing w:line="212" w:lineRule="exact"/>
              <w:rPr>
                <w:sz w:val="20"/>
              </w:rPr>
            </w:pPr>
            <w:r>
              <w:rPr>
                <w:sz w:val="20"/>
              </w:rPr>
              <w:t>(3 year avg)</w:t>
            </w:r>
          </w:p>
        </w:tc>
        <w:tc>
          <w:tcPr>
            <w:tcW w:w="2430" w:type="dxa"/>
          </w:tcPr>
          <w:p w:rsidR="00030318" w:rsidRDefault="00030318" w:rsidP="00030318">
            <w:pPr>
              <w:pStyle w:val="TableParagraph"/>
              <w:ind w:left="0"/>
              <w:rPr>
                <w:rFonts w:ascii="Times New Roman"/>
                <w:sz w:val="18"/>
              </w:rPr>
            </w:pPr>
          </w:p>
        </w:tc>
      </w:tr>
      <w:tr w:rsidR="00030318" w:rsidTr="00030318">
        <w:trPr>
          <w:trHeight w:val="230"/>
        </w:trPr>
        <w:tc>
          <w:tcPr>
            <w:tcW w:w="4321" w:type="dxa"/>
          </w:tcPr>
          <w:p w:rsidR="00030318" w:rsidRDefault="00030318" w:rsidP="00030318">
            <w:pPr>
              <w:pStyle w:val="TableParagraph"/>
              <w:spacing w:line="210" w:lineRule="exact"/>
              <w:rPr>
                <w:sz w:val="20"/>
              </w:rPr>
            </w:pPr>
            <w:r>
              <w:rPr>
                <w:sz w:val="20"/>
              </w:rPr>
              <w:t>Performance:</w:t>
            </w:r>
          </w:p>
        </w:tc>
        <w:tc>
          <w:tcPr>
            <w:tcW w:w="2433" w:type="dxa"/>
            <w:gridSpan w:val="2"/>
          </w:tcPr>
          <w:p w:rsidR="00030318" w:rsidRDefault="00030318" w:rsidP="00030318">
            <w:pPr>
              <w:pStyle w:val="TableParagraph"/>
              <w:spacing w:line="210" w:lineRule="exact"/>
              <w:rPr>
                <w:sz w:val="20"/>
              </w:rPr>
            </w:pPr>
            <w:r>
              <w:rPr>
                <w:sz w:val="20"/>
              </w:rPr>
              <w:t>Return</w:t>
            </w:r>
          </w:p>
        </w:tc>
        <w:tc>
          <w:tcPr>
            <w:tcW w:w="2430" w:type="dxa"/>
          </w:tcPr>
          <w:p w:rsidR="00030318" w:rsidRDefault="00030318" w:rsidP="00030318">
            <w:pPr>
              <w:pStyle w:val="TableParagraph"/>
              <w:spacing w:line="210" w:lineRule="exact"/>
              <w:ind w:left="103"/>
              <w:rPr>
                <w:sz w:val="20"/>
              </w:rPr>
            </w:pPr>
            <w:r>
              <w:rPr>
                <w:sz w:val="20"/>
              </w:rPr>
              <w:t>Payout</w:t>
            </w:r>
          </w:p>
        </w:tc>
      </w:tr>
      <w:tr w:rsidR="00030318" w:rsidTr="00030318">
        <w:trPr>
          <w:trHeight w:val="231"/>
        </w:trPr>
        <w:tc>
          <w:tcPr>
            <w:tcW w:w="4321" w:type="dxa"/>
            <w:tcBorders>
              <w:bottom w:val="nil"/>
            </w:tcBorders>
          </w:tcPr>
          <w:p w:rsidR="00030318" w:rsidRDefault="00030318" w:rsidP="00030318">
            <w:pPr>
              <w:pStyle w:val="TableParagraph"/>
              <w:spacing w:line="212" w:lineRule="exact"/>
              <w:rPr>
                <w:sz w:val="20"/>
              </w:rPr>
            </w:pPr>
            <w:r>
              <w:rPr>
                <w:sz w:val="20"/>
              </w:rPr>
              <w:t>Year ended June 30 2017</w:t>
            </w:r>
          </w:p>
        </w:tc>
        <w:tc>
          <w:tcPr>
            <w:tcW w:w="2433" w:type="dxa"/>
            <w:gridSpan w:val="2"/>
            <w:tcBorders>
              <w:bottom w:val="nil"/>
            </w:tcBorders>
          </w:tcPr>
          <w:p w:rsidR="00030318" w:rsidRDefault="00030318" w:rsidP="00030318">
            <w:pPr>
              <w:pStyle w:val="TableParagraph"/>
              <w:ind w:left="0"/>
              <w:rPr>
                <w:rFonts w:ascii="Times New Roman"/>
                <w:sz w:val="16"/>
              </w:rPr>
            </w:pPr>
          </w:p>
        </w:tc>
        <w:tc>
          <w:tcPr>
            <w:tcW w:w="2430" w:type="dxa"/>
            <w:tcBorders>
              <w:bottom w:val="nil"/>
            </w:tcBorders>
          </w:tcPr>
          <w:p w:rsidR="00030318" w:rsidRDefault="00030318" w:rsidP="00030318">
            <w:pPr>
              <w:pStyle w:val="TableParagraph"/>
              <w:spacing w:line="212" w:lineRule="exact"/>
              <w:ind w:left="103"/>
              <w:rPr>
                <w:sz w:val="20"/>
              </w:rPr>
            </w:pPr>
            <w:r>
              <w:rPr>
                <w:sz w:val="20"/>
              </w:rPr>
              <w:t>Rs. 5.50 Per unit</w:t>
            </w:r>
          </w:p>
        </w:tc>
      </w:tr>
      <w:tr w:rsidR="00030318" w:rsidTr="00030318">
        <w:trPr>
          <w:trHeight w:val="229"/>
        </w:trPr>
        <w:tc>
          <w:tcPr>
            <w:tcW w:w="4321" w:type="dxa"/>
            <w:tcBorders>
              <w:top w:val="nil"/>
              <w:bottom w:val="nil"/>
            </w:tcBorders>
          </w:tcPr>
          <w:p w:rsidR="00030318" w:rsidRDefault="00030318" w:rsidP="00030318">
            <w:pPr>
              <w:pStyle w:val="TableParagraph"/>
              <w:spacing w:line="209" w:lineRule="exact"/>
              <w:rPr>
                <w:sz w:val="20"/>
              </w:rPr>
            </w:pPr>
            <w:r>
              <w:rPr>
                <w:sz w:val="20"/>
              </w:rPr>
              <w:t>Year ended June 30 2016</w:t>
            </w:r>
          </w:p>
        </w:tc>
        <w:tc>
          <w:tcPr>
            <w:tcW w:w="2433" w:type="dxa"/>
            <w:gridSpan w:val="2"/>
            <w:tcBorders>
              <w:top w:val="nil"/>
              <w:bottom w:val="nil"/>
            </w:tcBorders>
          </w:tcPr>
          <w:p w:rsidR="00030318" w:rsidRDefault="00030318" w:rsidP="00030318">
            <w:pPr>
              <w:pStyle w:val="TableParagraph"/>
              <w:spacing w:line="209" w:lineRule="exact"/>
              <w:rPr>
                <w:sz w:val="20"/>
              </w:rPr>
            </w:pPr>
            <w:r>
              <w:rPr>
                <w:sz w:val="20"/>
              </w:rPr>
              <w:t>30.15%14.01%</w:t>
            </w:r>
          </w:p>
        </w:tc>
        <w:tc>
          <w:tcPr>
            <w:tcW w:w="2430" w:type="dxa"/>
            <w:tcBorders>
              <w:top w:val="nil"/>
              <w:bottom w:val="nil"/>
            </w:tcBorders>
          </w:tcPr>
          <w:p w:rsidR="00030318" w:rsidRDefault="00030318" w:rsidP="00030318">
            <w:pPr>
              <w:pStyle w:val="TableParagraph"/>
              <w:spacing w:line="209" w:lineRule="exact"/>
              <w:ind w:left="103"/>
              <w:rPr>
                <w:sz w:val="20"/>
              </w:rPr>
            </w:pPr>
            <w:r>
              <w:rPr>
                <w:sz w:val="20"/>
              </w:rPr>
              <w:t>Rs. 2.00 per unit</w:t>
            </w:r>
          </w:p>
        </w:tc>
      </w:tr>
      <w:tr w:rsidR="00030318" w:rsidTr="00030318">
        <w:trPr>
          <w:trHeight w:val="230"/>
        </w:trPr>
        <w:tc>
          <w:tcPr>
            <w:tcW w:w="4321" w:type="dxa"/>
            <w:tcBorders>
              <w:top w:val="nil"/>
              <w:bottom w:val="nil"/>
            </w:tcBorders>
          </w:tcPr>
          <w:p w:rsidR="00030318" w:rsidRDefault="00030318" w:rsidP="00030318">
            <w:pPr>
              <w:pStyle w:val="TableParagraph"/>
              <w:spacing w:line="210" w:lineRule="exact"/>
              <w:rPr>
                <w:sz w:val="20"/>
              </w:rPr>
            </w:pPr>
            <w:r>
              <w:rPr>
                <w:sz w:val="20"/>
              </w:rPr>
              <w:t>Year ended June 30 2015</w:t>
            </w:r>
          </w:p>
        </w:tc>
        <w:tc>
          <w:tcPr>
            <w:tcW w:w="2433" w:type="dxa"/>
            <w:gridSpan w:val="2"/>
            <w:tcBorders>
              <w:top w:val="nil"/>
              <w:bottom w:val="nil"/>
            </w:tcBorders>
          </w:tcPr>
          <w:p w:rsidR="00030318" w:rsidRDefault="00030318" w:rsidP="00030318">
            <w:pPr>
              <w:pStyle w:val="TableParagraph"/>
              <w:spacing w:line="210" w:lineRule="exact"/>
              <w:rPr>
                <w:sz w:val="20"/>
              </w:rPr>
            </w:pPr>
            <w:r>
              <w:rPr>
                <w:sz w:val="20"/>
              </w:rPr>
              <w:t>22.05%</w:t>
            </w:r>
          </w:p>
        </w:tc>
        <w:tc>
          <w:tcPr>
            <w:tcW w:w="2430" w:type="dxa"/>
            <w:tcBorders>
              <w:top w:val="nil"/>
              <w:bottom w:val="nil"/>
            </w:tcBorders>
          </w:tcPr>
          <w:p w:rsidR="00030318" w:rsidRDefault="00030318" w:rsidP="00030318">
            <w:pPr>
              <w:pStyle w:val="TableParagraph"/>
              <w:spacing w:line="210" w:lineRule="exact"/>
              <w:ind w:left="103"/>
              <w:rPr>
                <w:sz w:val="20"/>
              </w:rPr>
            </w:pPr>
            <w:r>
              <w:rPr>
                <w:sz w:val="20"/>
              </w:rPr>
              <w:t>Rs. 0.62 per unit</w:t>
            </w:r>
          </w:p>
        </w:tc>
      </w:tr>
      <w:tr w:rsidR="00030318" w:rsidTr="00030318">
        <w:trPr>
          <w:trHeight w:val="230"/>
        </w:trPr>
        <w:tc>
          <w:tcPr>
            <w:tcW w:w="4321" w:type="dxa"/>
            <w:tcBorders>
              <w:top w:val="nil"/>
              <w:bottom w:val="nil"/>
            </w:tcBorders>
          </w:tcPr>
          <w:p w:rsidR="00030318" w:rsidRDefault="00030318" w:rsidP="00030318">
            <w:pPr>
              <w:pStyle w:val="TableParagraph"/>
              <w:spacing w:line="210" w:lineRule="exact"/>
              <w:rPr>
                <w:sz w:val="20"/>
              </w:rPr>
            </w:pPr>
            <w:r>
              <w:rPr>
                <w:sz w:val="20"/>
              </w:rPr>
              <w:t>Year ended June 30 2014</w:t>
            </w:r>
          </w:p>
        </w:tc>
        <w:tc>
          <w:tcPr>
            <w:tcW w:w="2433" w:type="dxa"/>
            <w:gridSpan w:val="2"/>
            <w:tcBorders>
              <w:top w:val="nil"/>
              <w:bottom w:val="nil"/>
            </w:tcBorders>
          </w:tcPr>
          <w:p w:rsidR="00030318" w:rsidRDefault="00030318" w:rsidP="00030318">
            <w:pPr>
              <w:pStyle w:val="TableParagraph"/>
              <w:spacing w:line="210" w:lineRule="exact"/>
              <w:rPr>
                <w:sz w:val="20"/>
              </w:rPr>
            </w:pPr>
            <w:r>
              <w:rPr>
                <w:sz w:val="20"/>
              </w:rPr>
              <w:t>31.48%</w:t>
            </w:r>
          </w:p>
        </w:tc>
        <w:tc>
          <w:tcPr>
            <w:tcW w:w="2430" w:type="dxa"/>
            <w:tcBorders>
              <w:top w:val="nil"/>
              <w:bottom w:val="nil"/>
            </w:tcBorders>
          </w:tcPr>
          <w:p w:rsidR="00030318" w:rsidRDefault="00030318" w:rsidP="00030318">
            <w:pPr>
              <w:pStyle w:val="TableParagraph"/>
              <w:spacing w:line="210" w:lineRule="exact"/>
              <w:ind w:left="103"/>
              <w:rPr>
                <w:sz w:val="20"/>
              </w:rPr>
            </w:pPr>
            <w:r>
              <w:rPr>
                <w:sz w:val="20"/>
              </w:rPr>
              <w:t>Rs. 11.04 per unit</w:t>
            </w:r>
          </w:p>
        </w:tc>
      </w:tr>
      <w:tr w:rsidR="00030318" w:rsidTr="00030318">
        <w:trPr>
          <w:trHeight w:val="230"/>
        </w:trPr>
        <w:tc>
          <w:tcPr>
            <w:tcW w:w="4321" w:type="dxa"/>
            <w:tcBorders>
              <w:top w:val="nil"/>
              <w:bottom w:val="nil"/>
            </w:tcBorders>
          </w:tcPr>
          <w:p w:rsidR="00030318" w:rsidRDefault="00030318" w:rsidP="00030318">
            <w:pPr>
              <w:pStyle w:val="TableParagraph"/>
              <w:spacing w:line="210" w:lineRule="exact"/>
              <w:rPr>
                <w:sz w:val="20"/>
              </w:rPr>
            </w:pPr>
            <w:r>
              <w:rPr>
                <w:sz w:val="20"/>
              </w:rPr>
              <w:t>Year ended 30 June 2013</w:t>
            </w:r>
          </w:p>
        </w:tc>
        <w:tc>
          <w:tcPr>
            <w:tcW w:w="2433" w:type="dxa"/>
            <w:gridSpan w:val="2"/>
            <w:tcBorders>
              <w:top w:val="nil"/>
              <w:bottom w:val="nil"/>
            </w:tcBorders>
          </w:tcPr>
          <w:p w:rsidR="00030318" w:rsidRDefault="00030318" w:rsidP="00030318">
            <w:pPr>
              <w:pStyle w:val="TableParagraph"/>
              <w:spacing w:line="210" w:lineRule="exact"/>
              <w:rPr>
                <w:sz w:val="20"/>
              </w:rPr>
            </w:pPr>
            <w:r>
              <w:rPr>
                <w:sz w:val="20"/>
              </w:rPr>
              <w:t>55.20%</w:t>
            </w:r>
          </w:p>
        </w:tc>
        <w:tc>
          <w:tcPr>
            <w:tcW w:w="2430" w:type="dxa"/>
            <w:tcBorders>
              <w:top w:val="nil"/>
              <w:bottom w:val="nil"/>
            </w:tcBorders>
          </w:tcPr>
          <w:p w:rsidR="00030318" w:rsidRDefault="00030318" w:rsidP="00030318">
            <w:pPr>
              <w:pStyle w:val="TableParagraph"/>
              <w:spacing w:line="210" w:lineRule="exact"/>
              <w:ind w:left="103"/>
              <w:rPr>
                <w:sz w:val="20"/>
              </w:rPr>
            </w:pPr>
            <w:r>
              <w:rPr>
                <w:sz w:val="20"/>
              </w:rPr>
              <w:t>Rs. 9.14 per unit</w:t>
            </w:r>
          </w:p>
        </w:tc>
      </w:tr>
      <w:tr w:rsidR="00030318" w:rsidTr="00030318">
        <w:trPr>
          <w:trHeight w:val="230"/>
        </w:trPr>
        <w:tc>
          <w:tcPr>
            <w:tcW w:w="4321" w:type="dxa"/>
            <w:tcBorders>
              <w:top w:val="nil"/>
              <w:bottom w:val="nil"/>
            </w:tcBorders>
          </w:tcPr>
          <w:p w:rsidR="00030318" w:rsidRDefault="00030318" w:rsidP="00030318">
            <w:pPr>
              <w:pStyle w:val="TableParagraph"/>
              <w:spacing w:line="210" w:lineRule="exact"/>
              <w:rPr>
                <w:sz w:val="20"/>
              </w:rPr>
            </w:pPr>
            <w:r>
              <w:rPr>
                <w:sz w:val="20"/>
              </w:rPr>
              <w:t>Year ended 30 June 2012</w:t>
            </w:r>
          </w:p>
        </w:tc>
        <w:tc>
          <w:tcPr>
            <w:tcW w:w="2433" w:type="dxa"/>
            <w:gridSpan w:val="2"/>
            <w:tcBorders>
              <w:top w:val="nil"/>
              <w:bottom w:val="nil"/>
            </w:tcBorders>
          </w:tcPr>
          <w:p w:rsidR="00030318" w:rsidRDefault="00030318" w:rsidP="00030318">
            <w:pPr>
              <w:pStyle w:val="TableParagraph"/>
              <w:spacing w:line="210" w:lineRule="exact"/>
              <w:rPr>
                <w:sz w:val="20"/>
              </w:rPr>
            </w:pPr>
            <w:r>
              <w:rPr>
                <w:sz w:val="20"/>
              </w:rPr>
              <w:t>12.43%</w:t>
            </w:r>
          </w:p>
        </w:tc>
        <w:tc>
          <w:tcPr>
            <w:tcW w:w="2430" w:type="dxa"/>
            <w:tcBorders>
              <w:top w:val="nil"/>
              <w:bottom w:val="nil"/>
            </w:tcBorders>
          </w:tcPr>
          <w:p w:rsidR="00030318" w:rsidRDefault="00030318" w:rsidP="00030318">
            <w:pPr>
              <w:pStyle w:val="TableParagraph"/>
              <w:spacing w:line="210" w:lineRule="exact"/>
              <w:ind w:left="103"/>
              <w:rPr>
                <w:sz w:val="20"/>
              </w:rPr>
            </w:pPr>
            <w:r>
              <w:rPr>
                <w:sz w:val="20"/>
              </w:rPr>
              <w:t>Rs. 4.5 per unit</w:t>
            </w:r>
          </w:p>
        </w:tc>
      </w:tr>
      <w:tr w:rsidR="00030318" w:rsidTr="00030318">
        <w:trPr>
          <w:trHeight w:val="229"/>
        </w:trPr>
        <w:tc>
          <w:tcPr>
            <w:tcW w:w="4321" w:type="dxa"/>
            <w:tcBorders>
              <w:top w:val="nil"/>
              <w:bottom w:val="nil"/>
            </w:tcBorders>
          </w:tcPr>
          <w:p w:rsidR="00030318" w:rsidRDefault="00030318" w:rsidP="00030318">
            <w:pPr>
              <w:pStyle w:val="TableParagraph"/>
              <w:spacing w:line="209" w:lineRule="exact"/>
              <w:rPr>
                <w:sz w:val="20"/>
              </w:rPr>
            </w:pPr>
            <w:r>
              <w:rPr>
                <w:sz w:val="20"/>
              </w:rPr>
              <w:t>Year ended 30 June 2012</w:t>
            </w:r>
          </w:p>
        </w:tc>
        <w:tc>
          <w:tcPr>
            <w:tcW w:w="2433" w:type="dxa"/>
            <w:gridSpan w:val="2"/>
            <w:tcBorders>
              <w:top w:val="nil"/>
              <w:bottom w:val="nil"/>
            </w:tcBorders>
          </w:tcPr>
          <w:p w:rsidR="00030318" w:rsidRDefault="00030318" w:rsidP="00030318">
            <w:pPr>
              <w:pStyle w:val="TableParagraph"/>
              <w:spacing w:line="209" w:lineRule="exact"/>
              <w:rPr>
                <w:sz w:val="20"/>
              </w:rPr>
            </w:pPr>
            <w:r>
              <w:rPr>
                <w:sz w:val="20"/>
              </w:rPr>
              <w:t>35.58%</w:t>
            </w:r>
          </w:p>
        </w:tc>
        <w:tc>
          <w:tcPr>
            <w:tcW w:w="2430" w:type="dxa"/>
            <w:tcBorders>
              <w:top w:val="nil"/>
              <w:bottom w:val="nil"/>
            </w:tcBorders>
          </w:tcPr>
          <w:p w:rsidR="00030318" w:rsidRDefault="00030318" w:rsidP="00030318">
            <w:pPr>
              <w:pStyle w:val="TableParagraph"/>
              <w:spacing w:line="209" w:lineRule="exact"/>
              <w:ind w:left="103"/>
              <w:rPr>
                <w:sz w:val="20"/>
              </w:rPr>
            </w:pPr>
            <w:r>
              <w:rPr>
                <w:sz w:val="20"/>
              </w:rPr>
              <w:t>Rs. 8.66 per unit</w:t>
            </w:r>
          </w:p>
        </w:tc>
      </w:tr>
      <w:tr w:rsidR="00030318" w:rsidTr="00030318">
        <w:trPr>
          <w:trHeight w:val="229"/>
        </w:trPr>
        <w:tc>
          <w:tcPr>
            <w:tcW w:w="4321" w:type="dxa"/>
            <w:tcBorders>
              <w:top w:val="nil"/>
              <w:bottom w:val="nil"/>
            </w:tcBorders>
          </w:tcPr>
          <w:p w:rsidR="00030318" w:rsidRDefault="00030318" w:rsidP="00030318">
            <w:pPr>
              <w:pStyle w:val="TableParagraph"/>
              <w:spacing w:line="209" w:lineRule="exact"/>
              <w:rPr>
                <w:sz w:val="20"/>
              </w:rPr>
            </w:pPr>
            <w:r>
              <w:rPr>
                <w:sz w:val="20"/>
              </w:rPr>
              <w:t>Year ended 30 June 2011</w:t>
            </w:r>
          </w:p>
        </w:tc>
        <w:tc>
          <w:tcPr>
            <w:tcW w:w="2433" w:type="dxa"/>
            <w:gridSpan w:val="2"/>
            <w:tcBorders>
              <w:top w:val="nil"/>
              <w:bottom w:val="nil"/>
            </w:tcBorders>
          </w:tcPr>
          <w:p w:rsidR="00030318" w:rsidRDefault="00030318" w:rsidP="00030318">
            <w:pPr>
              <w:pStyle w:val="TableParagraph"/>
              <w:spacing w:line="209" w:lineRule="exact"/>
              <w:rPr>
                <w:sz w:val="20"/>
              </w:rPr>
            </w:pPr>
            <w:r>
              <w:rPr>
                <w:sz w:val="20"/>
              </w:rPr>
              <w:t>24.11%</w:t>
            </w:r>
          </w:p>
        </w:tc>
        <w:tc>
          <w:tcPr>
            <w:tcW w:w="2430" w:type="dxa"/>
            <w:tcBorders>
              <w:top w:val="nil"/>
              <w:bottom w:val="nil"/>
            </w:tcBorders>
          </w:tcPr>
          <w:p w:rsidR="00030318" w:rsidRDefault="00030318" w:rsidP="00030318">
            <w:pPr>
              <w:pStyle w:val="TableParagraph"/>
              <w:spacing w:line="209" w:lineRule="exact"/>
              <w:ind w:left="103"/>
              <w:rPr>
                <w:sz w:val="20"/>
              </w:rPr>
            </w:pPr>
            <w:r>
              <w:rPr>
                <w:sz w:val="20"/>
              </w:rPr>
              <w:t>Rs. 48.44 per</w:t>
            </w:r>
            <w:r>
              <w:rPr>
                <w:spacing w:val="50"/>
                <w:sz w:val="20"/>
              </w:rPr>
              <w:t xml:space="preserve"> </w:t>
            </w:r>
            <w:r>
              <w:rPr>
                <w:sz w:val="20"/>
              </w:rPr>
              <w:t>unit</w:t>
            </w:r>
          </w:p>
        </w:tc>
      </w:tr>
      <w:tr w:rsidR="00030318" w:rsidTr="00030318">
        <w:trPr>
          <w:trHeight w:val="230"/>
        </w:trPr>
        <w:tc>
          <w:tcPr>
            <w:tcW w:w="4321" w:type="dxa"/>
            <w:tcBorders>
              <w:top w:val="nil"/>
              <w:bottom w:val="nil"/>
            </w:tcBorders>
          </w:tcPr>
          <w:p w:rsidR="00030318" w:rsidRDefault="00030318" w:rsidP="00030318">
            <w:pPr>
              <w:pStyle w:val="TableParagraph"/>
              <w:spacing w:line="210" w:lineRule="exact"/>
              <w:rPr>
                <w:sz w:val="20"/>
              </w:rPr>
            </w:pPr>
            <w:r>
              <w:rPr>
                <w:sz w:val="20"/>
              </w:rPr>
              <w:t>Year ended 30 June 2010</w:t>
            </w:r>
          </w:p>
        </w:tc>
        <w:tc>
          <w:tcPr>
            <w:tcW w:w="2433" w:type="dxa"/>
            <w:gridSpan w:val="2"/>
            <w:tcBorders>
              <w:top w:val="nil"/>
              <w:bottom w:val="nil"/>
            </w:tcBorders>
          </w:tcPr>
          <w:p w:rsidR="00030318" w:rsidRDefault="00030318" w:rsidP="00030318">
            <w:pPr>
              <w:pStyle w:val="TableParagraph"/>
              <w:spacing w:line="210" w:lineRule="exact"/>
              <w:rPr>
                <w:sz w:val="20"/>
              </w:rPr>
            </w:pPr>
            <w:r>
              <w:rPr>
                <w:sz w:val="20"/>
              </w:rPr>
              <w:t>-35.25%</w:t>
            </w:r>
          </w:p>
        </w:tc>
        <w:tc>
          <w:tcPr>
            <w:tcW w:w="2430" w:type="dxa"/>
            <w:tcBorders>
              <w:top w:val="nil"/>
              <w:bottom w:val="nil"/>
            </w:tcBorders>
          </w:tcPr>
          <w:p w:rsidR="00030318" w:rsidRDefault="00030318" w:rsidP="00030318">
            <w:pPr>
              <w:pStyle w:val="TableParagraph"/>
              <w:spacing w:line="210" w:lineRule="exact"/>
              <w:ind w:left="103"/>
              <w:rPr>
                <w:sz w:val="20"/>
              </w:rPr>
            </w:pPr>
            <w:r>
              <w:rPr>
                <w:sz w:val="20"/>
              </w:rPr>
              <w:t>NIL</w:t>
            </w:r>
          </w:p>
        </w:tc>
      </w:tr>
      <w:tr w:rsidR="00030318" w:rsidTr="00030318">
        <w:trPr>
          <w:trHeight w:val="229"/>
        </w:trPr>
        <w:tc>
          <w:tcPr>
            <w:tcW w:w="4321" w:type="dxa"/>
            <w:tcBorders>
              <w:top w:val="nil"/>
            </w:tcBorders>
          </w:tcPr>
          <w:p w:rsidR="00030318" w:rsidRDefault="00030318" w:rsidP="00030318">
            <w:pPr>
              <w:pStyle w:val="TableParagraph"/>
              <w:spacing w:line="209" w:lineRule="exact"/>
              <w:rPr>
                <w:sz w:val="20"/>
              </w:rPr>
            </w:pPr>
            <w:r>
              <w:rPr>
                <w:sz w:val="20"/>
              </w:rPr>
              <w:t>Year ended 30 June 2009*</w:t>
            </w:r>
          </w:p>
        </w:tc>
        <w:tc>
          <w:tcPr>
            <w:tcW w:w="2433" w:type="dxa"/>
            <w:gridSpan w:val="2"/>
            <w:tcBorders>
              <w:top w:val="nil"/>
            </w:tcBorders>
          </w:tcPr>
          <w:p w:rsidR="00030318" w:rsidRDefault="00030318" w:rsidP="00030318">
            <w:pPr>
              <w:pStyle w:val="TableParagraph"/>
              <w:ind w:left="0"/>
              <w:rPr>
                <w:rFonts w:ascii="Times New Roman"/>
                <w:sz w:val="16"/>
              </w:rPr>
            </w:pPr>
          </w:p>
        </w:tc>
        <w:tc>
          <w:tcPr>
            <w:tcW w:w="2430" w:type="dxa"/>
            <w:tcBorders>
              <w:top w:val="nil"/>
            </w:tcBorders>
          </w:tcPr>
          <w:p w:rsidR="00030318" w:rsidRDefault="00030318" w:rsidP="00030318">
            <w:pPr>
              <w:pStyle w:val="TableParagraph"/>
              <w:spacing w:line="209" w:lineRule="exact"/>
              <w:ind w:left="103"/>
              <w:rPr>
                <w:sz w:val="20"/>
              </w:rPr>
            </w:pPr>
            <w:r>
              <w:rPr>
                <w:sz w:val="20"/>
              </w:rPr>
              <w:t>NIL</w:t>
            </w:r>
          </w:p>
        </w:tc>
      </w:tr>
      <w:tr w:rsidR="00030318" w:rsidTr="00030318">
        <w:trPr>
          <w:trHeight w:val="229"/>
        </w:trPr>
        <w:tc>
          <w:tcPr>
            <w:tcW w:w="4321" w:type="dxa"/>
          </w:tcPr>
          <w:p w:rsidR="00030318" w:rsidRDefault="00030318" w:rsidP="00030318">
            <w:pPr>
              <w:pStyle w:val="TableParagraph"/>
              <w:spacing w:line="210" w:lineRule="exact"/>
              <w:rPr>
                <w:sz w:val="20"/>
              </w:rPr>
            </w:pPr>
            <w:r>
              <w:rPr>
                <w:sz w:val="20"/>
              </w:rPr>
              <w:t>Year ended 30 June 2008*</w:t>
            </w:r>
          </w:p>
        </w:tc>
        <w:tc>
          <w:tcPr>
            <w:tcW w:w="2433" w:type="dxa"/>
            <w:gridSpan w:val="2"/>
          </w:tcPr>
          <w:p w:rsidR="00030318" w:rsidRDefault="00030318" w:rsidP="00030318">
            <w:pPr>
              <w:pStyle w:val="TableParagraph"/>
              <w:spacing w:line="210" w:lineRule="exact"/>
              <w:rPr>
                <w:sz w:val="20"/>
              </w:rPr>
            </w:pPr>
            <w:r>
              <w:rPr>
                <w:sz w:val="20"/>
              </w:rPr>
              <w:t>-4.11%</w:t>
            </w:r>
          </w:p>
        </w:tc>
        <w:tc>
          <w:tcPr>
            <w:tcW w:w="2430" w:type="dxa"/>
          </w:tcPr>
          <w:p w:rsidR="00030318" w:rsidRDefault="00030318" w:rsidP="00030318">
            <w:pPr>
              <w:pStyle w:val="TableParagraph"/>
              <w:spacing w:line="210" w:lineRule="exact"/>
              <w:ind w:left="103"/>
              <w:rPr>
                <w:sz w:val="20"/>
              </w:rPr>
            </w:pPr>
            <w:r>
              <w:rPr>
                <w:sz w:val="20"/>
              </w:rPr>
              <w:t>Rs. 3.01 per unit</w:t>
            </w:r>
          </w:p>
        </w:tc>
      </w:tr>
      <w:tr w:rsidR="00030318" w:rsidTr="00030318">
        <w:trPr>
          <w:trHeight w:val="231"/>
        </w:trPr>
        <w:tc>
          <w:tcPr>
            <w:tcW w:w="4321" w:type="dxa"/>
          </w:tcPr>
          <w:p w:rsidR="00030318" w:rsidRDefault="00030318" w:rsidP="00030318">
            <w:pPr>
              <w:pStyle w:val="TableParagraph"/>
              <w:spacing w:line="212" w:lineRule="exact"/>
              <w:rPr>
                <w:sz w:val="20"/>
              </w:rPr>
            </w:pPr>
            <w:r>
              <w:rPr>
                <w:sz w:val="20"/>
              </w:rPr>
              <w:t>Year ended 30 June 2007</w:t>
            </w:r>
          </w:p>
        </w:tc>
        <w:tc>
          <w:tcPr>
            <w:tcW w:w="2433" w:type="dxa"/>
            <w:gridSpan w:val="2"/>
          </w:tcPr>
          <w:p w:rsidR="00030318" w:rsidRDefault="00030318" w:rsidP="00030318">
            <w:pPr>
              <w:pStyle w:val="TableParagraph"/>
              <w:spacing w:line="212" w:lineRule="exact"/>
              <w:rPr>
                <w:sz w:val="20"/>
              </w:rPr>
            </w:pPr>
            <w:r>
              <w:rPr>
                <w:sz w:val="20"/>
              </w:rPr>
              <w:t>29.73 %</w:t>
            </w:r>
          </w:p>
        </w:tc>
        <w:tc>
          <w:tcPr>
            <w:tcW w:w="2430" w:type="dxa"/>
          </w:tcPr>
          <w:p w:rsidR="00030318" w:rsidRDefault="00030318" w:rsidP="00030318">
            <w:pPr>
              <w:pStyle w:val="TableParagraph"/>
              <w:spacing w:line="212" w:lineRule="exact"/>
              <w:ind w:left="103"/>
              <w:rPr>
                <w:sz w:val="20"/>
              </w:rPr>
            </w:pPr>
            <w:r>
              <w:rPr>
                <w:sz w:val="20"/>
              </w:rPr>
              <w:t>Rs. 22.3 per unit</w:t>
            </w:r>
          </w:p>
        </w:tc>
      </w:tr>
    </w:tbl>
    <w:p w:rsidR="00030318" w:rsidRDefault="00030318" w:rsidP="00030318">
      <w:pPr>
        <w:pStyle w:val="BodyText"/>
        <w:rPr>
          <w:sz w:val="22"/>
        </w:rPr>
      </w:pPr>
    </w:p>
    <w:p w:rsidR="00030318" w:rsidRDefault="00030318" w:rsidP="00030318">
      <w:pPr>
        <w:pStyle w:val="BodyText"/>
        <w:spacing w:before="5"/>
        <w:rPr>
          <w:sz w:val="17"/>
        </w:rPr>
      </w:pPr>
    </w:p>
    <w:p w:rsidR="00030318" w:rsidRDefault="00030318" w:rsidP="00030318">
      <w:pPr>
        <w:pStyle w:val="Heading5"/>
        <w:ind w:left="621"/>
      </w:pPr>
      <w:r>
        <w:t>Al-Ameen Shariah Stock Fund (ASSF)</w:t>
      </w:r>
    </w:p>
    <w:p w:rsidR="00030318" w:rsidRDefault="00030318" w:rsidP="00030318">
      <w:pPr>
        <w:ind w:left="621"/>
        <w:rPr>
          <w:b/>
          <w:sz w:val="20"/>
        </w:rPr>
      </w:pPr>
      <w:r>
        <w:rPr>
          <w:b/>
          <w:sz w:val="20"/>
        </w:rPr>
        <w:t>(Formerly UBL Shariah Stock Fund (USSF) – Formerly United Composite Islamic Fund (UCIF))</w:t>
      </w:r>
    </w:p>
    <w:p w:rsidR="00030318" w:rsidRDefault="00030318" w:rsidP="00030318">
      <w:pPr>
        <w:pStyle w:val="BodyText"/>
        <w:spacing w:before="3"/>
        <w:rPr>
          <w:b/>
        </w:rPr>
      </w:pPr>
    </w:p>
    <w:p w:rsidR="00030318" w:rsidRDefault="00030318" w:rsidP="00030318">
      <w:pPr>
        <w:pStyle w:val="BodyText"/>
        <w:ind w:left="621" w:right="913"/>
        <w:jc w:val="both"/>
      </w:pPr>
      <w:r>
        <w:t>ASSF is an open-end Islamic Equity Fund which offers its investors an opportunity to invest in a portfolio of Shariah compliant equity stocks. The fund seeks to maximize medium to long term returns for a given level of risk. The fund operates under the expert guidance of a renowned Shariah Advisory Board which includes Mr. Hassan Kaleem and Mr. Najeeb Khan.</w:t>
      </w:r>
    </w:p>
    <w:p w:rsidR="00030318" w:rsidRDefault="00030318" w:rsidP="00030318">
      <w:pPr>
        <w:pStyle w:val="BodyText"/>
        <w:spacing w:before="4"/>
        <w:rPr>
          <w:sz w:val="14"/>
        </w:rPr>
      </w:pPr>
    </w:p>
    <w:p w:rsidR="00030318" w:rsidRDefault="00030318" w:rsidP="00030318">
      <w:pPr>
        <w:pStyle w:val="BodyText"/>
        <w:spacing w:line="20" w:lineRule="exact"/>
        <w:ind w:left="727"/>
        <w:rPr>
          <w:sz w:val="2"/>
        </w:rPr>
      </w:pPr>
      <w:r>
        <w:rPr>
          <w:rFonts w:ascii="Times New Roman"/>
          <w:spacing w:val="5"/>
          <w:sz w:val="2"/>
        </w:rPr>
        <w:t xml:space="preserve"> </w:t>
      </w:r>
    </w:p>
    <w:p w:rsidR="00030318" w:rsidRDefault="00030318" w:rsidP="00030318">
      <w:pPr>
        <w:pStyle w:val="BodyText"/>
        <w:spacing w:before="8"/>
        <w:rPr>
          <w:sz w:val="18"/>
        </w:rPr>
      </w:pPr>
    </w:p>
    <w:tbl>
      <w:tblPr>
        <w:tblW w:w="0" w:type="auto"/>
        <w:tblInd w:w="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0"/>
        <w:gridCol w:w="1707"/>
        <w:gridCol w:w="734"/>
        <w:gridCol w:w="2355"/>
      </w:tblGrid>
      <w:tr w:rsidR="00030318" w:rsidTr="00030318">
        <w:trPr>
          <w:trHeight w:val="230"/>
        </w:trPr>
        <w:tc>
          <w:tcPr>
            <w:tcW w:w="4400" w:type="dxa"/>
          </w:tcPr>
          <w:p w:rsidR="00030318" w:rsidRDefault="00030318" w:rsidP="00030318">
            <w:pPr>
              <w:pStyle w:val="TableParagraph"/>
              <w:spacing w:line="210" w:lineRule="exact"/>
              <w:rPr>
                <w:sz w:val="20"/>
              </w:rPr>
            </w:pPr>
            <w:r>
              <w:rPr>
                <w:sz w:val="20"/>
              </w:rPr>
              <w:t>Date of launching</w:t>
            </w:r>
          </w:p>
        </w:tc>
        <w:tc>
          <w:tcPr>
            <w:tcW w:w="2441" w:type="dxa"/>
            <w:gridSpan w:val="2"/>
          </w:tcPr>
          <w:p w:rsidR="00030318" w:rsidRDefault="00030318" w:rsidP="00030318">
            <w:pPr>
              <w:pStyle w:val="TableParagraph"/>
              <w:spacing w:line="210" w:lineRule="exact"/>
              <w:rPr>
                <w:sz w:val="20"/>
              </w:rPr>
            </w:pPr>
            <w:r>
              <w:rPr>
                <w:sz w:val="20"/>
              </w:rPr>
              <w:t>24 December 2006</w:t>
            </w:r>
          </w:p>
        </w:tc>
        <w:tc>
          <w:tcPr>
            <w:tcW w:w="2355" w:type="dxa"/>
          </w:tcPr>
          <w:p w:rsidR="00030318" w:rsidRDefault="00030318" w:rsidP="00030318">
            <w:pPr>
              <w:pStyle w:val="TableParagraph"/>
              <w:ind w:left="0"/>
              <w:rPr>
                <w:rFonts w:ascii="Times New Roman"/>
                <w:sz w:val="16"/>
              </w:rPr>
            </w:pPr>
          </w:p>
        </w:tc>
      </w:tr>
      <w:tr w:rsidR="00030318" w:rsidTr="00030318">
        <w:trPr>
          <w:trHeight w:val="229"/>
        </w:trPr>
        <w:tc>
          <w:tcPr>
            <w:tcW w:w="4400" w:type="dxa"/>
          </w:tcPr>
          <w:p w:rsidR="00030318" w:rsidRDefault="00030318" w:rsidP="00030318">
            <w:pPr>
              <w:pStyle w:val="TableParagraph"/>
              <w:spacing w:line="210" w:lineRule="exact"/>
              <w:rPr>
                <w:sz w:val="20"/>
              </w:rPr>
            </w:pPr>
            <w:r>
              <w:rPr>
                <w:sz w:val="20"/>
              </w:rPr>
              <w:t>Par value of units</w:t>
            </w:r>
          </w:p>
        </w:tc>
        <w:tc>
          <w:tcPr>
            <w:tcW w:w="2441" w:type="dxa"/>
            <w:gridSpan w:val="2"/>
          </w:tcPr>
          <w:p w:rsidR="00030318" w:rsidRDefault="00030318" w:rsidP="00030318">
            <w:pPr>
              <w:pStyle w:val="TableParagraph"/>
              <w:spacing w:line="210" w:lineRule="exact"/>
              <w:rPr>
                <w:sz w:val="20"/>
              </w:rPr>
            </w:pPr>
            <w:r>
              <w:rPr>
                <w:sz w:val="20"/>
              </w:rPr>
              <w:t>Rs. 100</w:t>
            </w:r>
          </w:p>
        </w:tc>
        <w:tc>
          <w:tcPr>
            <w:tcW w:w="2355" w:type="dxa"/>
          </w:tcPr>
          <w:p w:rsidR="00030318" w:rsidRDefault="00030318" w:rsidP="00030318">
            <w:pPr>
              <w:pStyle w:val="TableParagraph"/>
              <w:ind w:left="0"/>
              <w:rPr>
                <w:rFonts w:ascii="Times New Roman"/>
                <w:sz w:val="16"/>
              </w:rPr>
            </w:pPr>
          </w:p>
        </w:tc>
      </w:tr>
      <w:tr w:rsidR="00030318" w:rsidTr="00030318">
        <w:trPr>
          <w:trHeight w:val="220"/>
        </w:trPr>
        <w:tc>
          <w:tcPr>
            <w:tcW w:w="4400" w:type="dxa"/>
            <w:tcBorders>
              <w:bottom w:val="nil"/>
            </w:tcBorders>
          </w:tcPr>
          <w:p w:rsidR="00030318" w:rsidRDefault="00030318" w:rsidP="00030318">
            <w:pPr>
              <w:pStyle w:val="TableParagraph"/>
              <w:spacing w:line="201" w:lineRule="exact"/>
              <w:rPr>
                <w:sz w:val="20"/>
              </w:rPr>
            </w:pPr>
            <w:r w:rsidRPr="00E65CA8">
              <w:rPr>
                <w:sz w:val="20"/>
              </w:rPr>
              <w:t>Net Assets (as at Feb 19 2019)</w:t>
            </w:r>
          </w:p>
        </w:tc>
        <w:tc>
          <w:tcPr>
            <w:tcW w:w="2441" w:type="dxa"/>
            <w:gridSpan w:val="2"/>
            <w:tcBorders>
              <w:bottom w:val="nil"/>
            </w:tcBorders>
          </w:tcPr>
          <w:p w:rsidR="00030318" w:rsidRDefault="00030318" w:rsidP="00030318">
            <w:pPr>
              <w:pStyle w:val="TableParagraph"/>
              <w:spacing w:line="201" w:lineRule="exact"/>
              <w:rPr>
                <w:sz w:val="20"/>
              </w:rPr>
            </w:pPr>
            <w:r>
              <w:rPr>
                <w:sz w:val="20"/>
              </w:rPr>
              <w:t>Rs. 7,105 Million</w:t>
            </w:r>
          </w:p>
        </w:tc>
        <w:tc>
          <w:tcPr>
            <w:tcW w:w="2355" w:type="dxa"/>
          </w:tcPr>
          <w:p w:rsidR="00030318" w:rsidRDefault="00030318" w:rsidP="00030318">
            <w:pPr>
              <w:pStyle w:val="TableParagraph"/>
              <w:ind w:left="0"/>
              <w:rPr>
                <w:rFonts w:ascii="Times New Roman"/>
                <w:sz w:val="18"/>
              </w:rPr>
            </w:pPr>
          </w:p>
        </w:tc>
      </w:tr>
      <w:tr w:rsidR="00030318" w:rsidTr="00030318">
        <w:trPr>
          <w:trHeight w:val="220"/>
        </w:trPr>
        <w:tc>
          <w:tcPr>
            <w:tcW w:w="4400" w:type="dxa"/>
            <w:tcBorders>
              <w:bottom w:val="nil"/>
            </w:tcBorders>
          </w:tcPr>
          <w:p w:rsidR="00030318" w:rsidRDefault="00030318" w:rsidP="00030318">
            <w:pPr>
              <w:pStyle w:val="TableParagraph"/>
              <w:spacing w:line="201" w:lineRule="exact"/>
              <w:rPr>
                <w:sz w:val="20"/>
              </w:rPr>
            </w:pPr>
            <w:r>
              <w:rPr>
                <w:sz w:val="20"/>
              </w:rPr>
              <w:t>Net Assets (as at June 30 2018)</w:t>
            </w:r>
          </w:p>
        </w:tc>
        <w:tc>
          <w:tcPr>
            <w:tcW w:w="2441" w:type="dxa"/>
            <w:gridSpan w:val="2"/>
            <w:tcBorders>
              <w:bottom w:val="nil"/>
            </w:tcBorders>
          </w:tcPr>
          <w:p w:rsidR="00030318" w:rsidRDefault="00030318" w:rsidP="00030318">
            <w:pPr>
              <w:pStyle w:val="TableParagraph"/>
              <w:spacing w:line="201" w:lineRule="exact"/>
              <w:rPr>
                <w:sz w:val="20"/>
              </w:rPr>
            </w:pPr>
            <w:r>
              <w:rPr>
                <w:sz w:val="20"/>
              </w:rPr>
              <w:t>Rs. 6.8Bn</w:t>
            </w:r>
          </w:p>
        </w:tc>
        <w:tc>
          <w:tcPr>
            <w:tcW w:w="2355" w:type="dxa"/>
          </w:tcPr>
          <w:p w:rsidR="00030318" w:rsidRDefault="00030318" w:rsidP="00030318">
            <w:pPr>
              <w:pStyle w:val="TableParagraph"/>
              <w:ind w:left="0"/>
              <w:rPr>
                <w:rFonts w:ascii="Times New Roman"/>
                <w:sz w:val="18"/>
              </w:rPr>
            </w:pPr>
          </w:p>
        </w:tc>
      </w:tr>
      <w:tr w:rsidR="00030318" w:rsidTr="00030318">
        <w:trPr>
          <w:trHeight w:val="220"/>
        </w:trPr>
        <w:tc>
          <w:tcPr>
            <w:tcW w:w="4400" w:type="dxa"/>
            <w:tcBorders>
              <w:bottom w:val="nil"/>
            </w:tcBorders>
          </w:tcPr>
          <w:p w:rsidR="00030318" w:rsidRDefault="00030318" w:rsidP="00030318">
            <w:pPr>
              <w:pStyle w:val="TableParagraph"/>
              <w:spacing w:line="201" w:lineRule="exact"/>
              <w:rPr>
                <w:sz w:val="20"/>
              </w:rPr>
            </w:pPr>
            <w:r>
              <w:rPr>
                <w:sz w:val="20"/>
              </w:rPr>
              <w:t>Net Assets (as at June 30 2017)</w:t>
            </w:r>
          </w:p>
          <w:p w:rsidR="00030318" w:rsidRDefault="00030318" w:rsidP="00030318">
            <w:pPr>
              <w:pStyle w:val="TableParagraph"/>
              <w:spacing w:line="201" w:lineRule="exact"/>
              <w:rPr>
                <w:sz w:val="20"/>
              </w:rPr>
            </w:pPr>
            <w:r>
              <w:rPr>
                <w:sz w:val="20"/>
              </w:rPr>
              <w:t>Net Assets (as</w:t>
            </w:r>
          </w:p>
        </w:tc>
        <w:tc>
          <w:tcPr>
            <w:tcW w:w="2441" w:type="dxa"/>
            <w:gridSpan w:val="2"/>
            <w:tcBorders>
              <w:bottom w:val="nil"/>
            </w:tcBorders>
          </w:tcPr>
          <w:p w:rsidR="00030318" w:rsidRDefault="00030318" w:rsidP="00030318">
            <w:pPr>
              <w:pStyle w:val="TableParagraph"/>
              <w:spacing w:line="201" w:lineRule="exact"/>
              <w:rPr>
                <w:sz w:val="20"/>
              </w:rPr>
            </w:pPr>
            <w:r>
              <w:rPr>
                <w:sz w:val="20"/>
              </w:rPr>
              <w:t>Rs. 8,781 Million</w:t>
            </w:r>
          </w:p>
        </w:tc>
        <w:tc>
          <w:tcPr>
            <w:tcW w:w="2355"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ind w:left="0"/>
              <w:rPr>
                <w:sz w:val="20"/>
              </w:rPr>
            </w:pPr>
            <w:r>
              <w:rPr>
                <w:sz w:val="20"/>
              </w:rPr>
              <w:t>at June 30 2016)</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1,812 Million</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Net Assets (as at June 30 2015)</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7,198 Million</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Net Assets (as at June 30 2014)</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4,134 Million</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Net Assets (as at 30 June 2013)</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1,233 Million</w:t>
            </w:r>
          </w:p>
        </w:tc>
        <w:tc>
          <w:tcPr>
            <w:tcW w:w="2355" w:type="dxa"/>
            <w:vMerge/>
            <w:tcBorders>
              <w:top w:val="nil"/>
            </w:tcBorders>
          </w:tcPr>
          <w:p w:rsidR="00030318" w:rsidRDefault="00030318" w:rsidP="00030318">
            <w:pPr>
              <w:rPr>
                <w:sz w:val="2"/>
                <w:szCs w:val="2"/>
              </w:rPr>
            </w:pPr>
          </w:p>
        </w:tc>
      </w:tr>
      <w:tr w:rsidR="00030318" w:rsidTr="00030318">
        <w:trPr>
          <w:trHeight w:val="209"/>
        </w:trPr>
        <w:tc>
          <w:tcPr>
            <w:tcW w:w="4400" w:type="dxa"/>
            <w:tcBorders>
              <w:top w:val="nil"/>
              <w:bottom w:val="nil"/>
            </w:tcBorders>
          </w:tcPr>
          <w:p w:rsidR="00030318" w:rsidRDefault="00030318" w:rsidP="00030318">
            <w:pPr>
              <w:pStyle w:val="TableParagraph"/>
              <w:spacing w:line="189" w:lineRule="exact"/>
              <w:rPr>
                <w:sz w:val="20"/>
              </w:rPr>
            </w:pPr>
            <w:r>
              <w:rPr>
                <w:sz w:val="20"/>
              </w:rPr>
              <w:t>Net Assets (as at 30 June 2012)</w:t>
            </w:r>
          </w:p>
        </w:tc>
        <w:tc>
          <w:tcPr>
            <w:tcW w:w="2441" w:type="dxa"/>
            <w:gridSpan w:val="2"/>
            <w:tcBorders>
              <w:top w:val="nil"/>
              <w:bottom w:val="nil"/>
            </w:tcBorders>
          </w:tcPr>
          <w:p w:rsidR="00030318" w:rsidRDefault="00030318" w:rsidP="00030318">
            <w:pPr>
              <w:pStyle w:val="TableParagraph"/>
              <w:spacing w:line="189" w:lineRule="exact"/>
              <w:rPr>
                <w:sz w:val="20"/>
              </w:rPr>
            </w:pPr>
            <w:r>
              <w:rPr>
                <w:sz w:val="20"/>
              </w:rPr>
              <w:t>Rs. 531 Million</w:t>
            </w:r>
          </w:p>
        </w:tc>
        <w:tc>
          <w:tcPr>
            <w:tcW w:w="2355" w:type="dxa"/>
            <w:vMerge/>
            <w:tcBorders>
              <w:top w:val="nil"/>
            </w:tcBorders>
          </w:tcPr>
          <w:p w:rsidR="00030318" w:rsidRDefault="00030318" w:rsidP="00030318">
            <w:pPr>
              <w:rPr>
                <w:sz w:val="2"/>
                <w:szCs w:val="2"/>
              </w:rPr>
            </w:pPr>
          </w:p>
        </w:tc>
      </w:tr>
      <w:tr w:rsidR="00030318" w:rsidTr="00030318">
        <w:trPr>
          <w:trHeight w:val="209"/>
        </w:trPr>
        <w:tc>
          <w:tcPr>
            <w:tcW w:w="4400" w:type="dxa"/>
            <w:tcBorders>
              <w:top w:val="nil"/>
              <w:bottom w:val="nil"/>
            </w:tcBorders>
          </w:tcPr>
          <w:p w:rsidR="00030318" w:rsidRDefault="00030318" w:rsidP="00030318">
            <w:pPr>
              <w:pStyle w:val="TableParagraph"/>
              <w:spacing w:line="189" w:lineRule="exact"/>
              <w:rPr>
                <w:sz w:val="20"/>
              </w:rPr>
            </w:pPr>
            <w:r>
              <w:rPr>
                <w:sz w:val="20"/>
              </w:rPr>
              <w:t>Net Assets (as at 30 June 2011)</w:t>
            </w:r>
          </w:p>
        </w:tc>
        <w:tc>
          <w:tcPr>
            <w:tcW w:w="2441" w:type="dxa"/>
            <w:gridSpan w:val="2"/>
            <w:tcBorders>
              <w:top w:val="nil"/>
              <w:bottom w:val="nil"/>
            </w:tcBorders>
          </w:tcPr>
          <w:p w:rsidR="00030318" w:rsidRDefault="00030318" w:rsidP="00030318">
            <w:pPr>
              <w:pStyle w:val="TableParagraph"/>
              <w:spacing w:line="189" w:lineRule="exact"/>
              <w:rPr>
                <w:sz w:val="20"/>
              </w:rPr>
            </w:pPr>
            <w:r>
              <w:rPr>
                <w:sz w:val="20"/>
              </w:rPr>
              <w:t>Rs. 478 Million</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Net Assets (as at 30 June 2010)</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524 Million</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Net Assets (as at 30 June 2009)</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823 Million</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lastRenderedPageBreak/>
              <w:t>Net Assets (as at 30 June 2008)</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1218 Million</w:t>
            </w:r>
          </w:p>
        </w:tc>
        <w:tc>
          <w:tcPr>
            <w:tcW w:w="2355" w:type="dxa"/>
            <w:vMerge/>
            <w:tcBorders>
              <w:top w:val="nil"/>
            </w:tcBorders>
          </w:tcPr>
          <w:p w:rsidR="00030318" w:rsidRDefault="00030318" w:rsidP="00030318">
            <w:pPr>
              <w:rPr>
                <w:sz w:val="2"/>
                <w:szCs w:val="2"/>
              </w:rPr>
            </w:pPr>
          </w:p>
        </w:tc>
      </w:tr>
      <w:tr w:rsidR="00030318" w:rsidTr="00030318">
        <w:trPr>
          <w:trHeight w:val="219"/>
        </w:trPr>
        <w:tc>
          <w:tcPr>
            <w:tcW w:w="4400" w:type="dxa"/>
            <w:tcBorders>
              <w:top w:val="nil"/>
            </w:tcBorders>
          </w:tcPr>
          <w:p w:rsidR="00030318" w:rsidRDefault="00030318" w:rsidP="00030318">
            <w:pPr>
              <w:pStyle w:val="TableParagraph"/>
              <w:spacing w:line="199" w:lineRule="exact"/>
              <w:rPr>
                <w:sz w:val="20"/>
              </w:rPr>
            </w:pPr>
            <w:r>
              <w:rPr>
                <w:sz w:val="20"/>
              </w:rPr>
              <w:t>Net Assets (as at 30 June 2007)</w:t>
            </w:r>
          </w:p>
        </w:tc>
        <w:tc>
          <w:tcPr>
            <w:tcW w:w="2441" w:type="dxa"/>
            <w:gridSpan w:val="2"/>
            <w:tcBorders>
              <w:top w:val="nil"/>
            </w:tcBorders>
          </w:tcPr>
          <w:p w:rsidR="00030318" w:rsidRDefault="00030318" w:rsidP="00030318">
            <w:pPr>
              <w:pStyle w:val="TableParagraph"/>
              <w:spacing w:line="199" w:lineRule="exact"/>
              <w:rPr>
                <w:sz w:val="20"/>
              </w:rPr>
            </w:pPr>
            <w:r>
              <w:rPr>
                <w:sz w:val="20"/>
              </w:rPr>
              <w:t>Rs. 965 Million</w:t>
            </w:r>
          </w:p>
        </w:tc>
        <w:tc>
          <w:tcPr>
            <w:tcW w:w="2355" w:type="dxa"/>
            <w:vMerge/>
            <w:tcBorders>
              <w:top w:val="nil"/>
            </w:tcBorders>
          </w:tcPr>
          <w:p w:rsidR="00030318" w:rsidRDefault="00030318" w:rsidP="00030318">
            <w:pPr>
              <w:rPr>
                <w:sz w:val="2"/>
                <w:szCs w:val="2"/>
              </w:rPr>
            </w:pPr>
          </w:p>
        </w:tc>
      </w:tr>
      <w:tr w:rsidR="00030318" w:rsidTr="00030318">
        <w:trPr>
          <w:trHeight w:val="220"/>
        </w:trPr>
        <w:tc>
          <w:tcPr>
            <w:tcW w:w="4400" w:type="dxa"/>
            <w:tcBorders>
              <w:bottom w:val="nil"/>
            </w:tcBorders>
          </w:tcPr>
          <w:p w:rsidR="00030318" w:rsidRDefault="00030318" w:rsidP="00030318">
            <w:pPr>
              <w:pStyle w:val="TableParagraph"/>
              <w:spacing w:line="201" w:lineRule="exact"/>
              <w:rPr>
                <w:sz w:val="20"/>
              </w:rPr>
            </w:pPr>
            <w:r w:rsidRPr="00E65CA8">
              <w:rPr>
                <w:sz w:val="20"/>
              </w:rPr>
              <w:t>NAV (as at Feb 19, 2019)</w:t>
            </w:r>
          </w:p>
        </w:tc>
        <w:tc>
          <w:tcPr>
            <w:tcW w:w="2441" w:type="dxa"/>
            <w:gridSpan w:val="2"/>
            <w:tcBorders>
              <w:bottom w:val="nil"/>
            </w:tcBorders>
          </w:tcPr>
          <w:p w:rsidR="00030318" w:rsidRDefault="00030318" w:rsidP="00030318">
            <w:pPr>
              <w:pStyle w:val="TableParagraph"/>
              <w:spacing w:line="201" w:lineRule="exact"/>
              <w:rPr>
                <w:sz w:val="20"/>
              </w:rPr>
            </w:pPr>
            <w:r>
              <w:rPr>
                <w:sz w:val="20"/>
              </w:rPr>
              <w:t>Rs. 132.30</w:t>
            </w:r>
          </w:p>
        </w:tc>
        <w:tc>
          <w:tcPr>
            <w:tcW w:w="2355" w:type="dxa"/>
          </w:tcPr>
          <w:p w:rsidR="00030318" w:rsidRDefault="00030318" w:rsidP="00030318">
            <w:pPr>
              <w:pStyle w:val="TableParagraph"/>
              <w:ind w:left="0"/>
              <w:rPr>
                <w:rFonts w:ascii="Times New Roman"/>
                <w:sz w:val="18"/>
              </w:rPr>
            </w:pPr>
          </w:p>
        </w:tc>
      </w:tr>
      <w:tr w:rsidR="00030318" w:rsidTr="00030318">
        <w:trPr>
          <w:trHeight w:val="220"/>
        </w:trPr>
        <w:tc>
          <w:tcPr>
            <w:tcW w:w="4400" w:type="dxa"/>
            <w:tcBorders>
              <w:bottom w:val="nil"/>
            </w:tcBorders>
          </w:tcPr>
          <w:p w:rsidR="00030318" w:rsidRDefault="00030318" w:rsidP="00030318">
            <w:pPr>
              <w:pStyle w:val="TableParagraph"/>
              <w:spacing w:line="201" w:lineRule="exact"/>
              <w:rPr>
                <w:sz w:val="20"/>
              </w:rPr>
            </w:pPr>
            <w:r>
              <w:rPr>
                <w:sz w:val="20"/>
              </w:rPr>
              <w:t>NAV (as at June 30 2017)</w:t>
            </w:r>
          </w:p>
        </w:tc>
        <w:tc>
          <w:tcPr>
            <w:tcW w:w="2441" w:type="dxa"/>
            <w:gridSpan w:val="2"/>
            <w:tcBorders>
              <w:bottom w:val="nil"/>
            </w:tcBorders>
          </w:tcPr>
          <w:p w:rsidR="00030318" w:rsidRDefault="00030318" w:rsidP="00030318">
            <w:pPr>
              <w:pStyle w:val="TableParagraph"/>
              <w:spacing w:line="201" w:lineRule="exact"/>
              <w:rPr>
                <w:sz w:val="20"/>
              </w:rPr>
            </w:pPr>
            <w:r>
              <w:rPr>
                <w:sz w:val="20"/>
              </w:rPr>
              <w:t>Rs. 153.26</w:t>
            </w:r>
          </w:p>
        </w:tc>
        <w:tc>
          <w:tcPr>
            <w:tcW w:w="2355"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4400" w:type="dxa"/>
            <w:tcBorders>
              <w:top w:val="nil"/>
              <w:bottom w:val="nil"/>
            </w:tcBorders>
          </w:tcPr>
          <w:p w:rsidR="00030318" w:rsidRDefault="00030318" w:rsidP="00030318">
            <w:pPr>
              <w:pStyle w:val="TableParagraph"/>
              <w:spacing w:line="191" w:lineRule="exact"/>
              <w:rPr>
                <w:sz w:val="20"/>
              </w:rPr>
            </w:pPr>
            <w:r>
              <w:rPr>
                <w:sz w:val="20"/>
              </w:rPr>
              <w:t>NAV (as at June 30 2016)</w:t>
            </w:r>
          </w:p>
        </w:tc>
        <w:tc>
          <w:tcPr>
            <w:tcW w:w="2441" w:type="dxa"/>
            <w:gridSpan w:val="2"/>
            <w:tcBorders>
              <w:top w:val="nil"/>
              <w:bottom w:val="nil"/>
            </w:tcBorders>
          </w:tcPr>
          <w:p w:rsidR="00030318" w:rsidRDefault="00030318" w:rsidP="00030318">
            <w:pPr>
              <w:pStyle w:val="TableParagraph"/>
              <w:spacing w:line="191" w:lineRule="exact"/>
              <w:rPr>
                <w:sz w:val="20"/>
              </w:rPr>
            </w:pPr>
            <w:r>
              <w:rPr>
                <w:sz w:val="20"/>
              </w:rPr>
              <w:t>Rs. 128.59</w:t>
            </w:r>
          </w:p>
        </w:tc>
        <w:tc>
          <w:tcPr>
            <w:tcW w:w="2355" w:type="dxa"/>
            <w:vMerge/>
            <w:tcBorders>
              <w:top w:val="nil"/>
            </w:tcBorders>
          </w:tcPr>
          <w:p w:rsidR="00030318" w:rsidRDefault="00030318" w:rsidP="00030318">
            <w:pPr>
              <w:rPr>
                <w:sz w:val="2"/>
                <w:szCs w:val="2"/>
              </w:rPr>
            </w:pPr>
          </w:p>
        </w:tc>
      </w:tr>
      <w:tr w:rsidR="00030318" w:rsidTr="00030318">
        <w:trPr>
          <w:trHeight w:val="209"/>
        </w:trPr>
        <w:tc>
          <w:tcPr>
            <w:tcW w:w="4400" w:type="dxa"/>
            <w:tcBorders>
              <w:top w:val="nil"/>
              <w:bottom w:val="nil"/>
            </w:tcBorders>
          </w:tcPr>
          <w:p w:rsidR="00030318" w:rsidRDefault="00030318" w:rsidP="00030318">
            <w:pPr>
              <w:pStyle w:val="TableParagraph"/>
              <w:spacing w:line="189" w:lineRule="exact"/>
              <w:rPr>
                <w:sz w:val="20"/>
              </w:rPr>
            </w:pPr>
            <w:r>
              <w:rPr>
                <w:sz w:val="20"/>
              </w:rPr>
              <w:t>NAV (as at June 30 2015)</w:t>
            </w:r>
          </w:p>
        </w:tc>
        <w:tc>
          <w:tcPr>
            <w:tcW w:w="2441" w:type="dxa"/>
            <w:gridSpan w:val="2"/>
            <w:tcBorders>
              <w:top w:val="nil"/>
              <w:bottom w:val="nil"/>
            </w:tcBorders>
          </w:tcPr>
          <w:p w:rsidR="00030318" w:rsidRDefault="00030318" w:rsidP="00030318">
            <w:pPr>
              <w:pStyle w:val="TableParagraph"/>
              <w:spacing w:line="189" w:lineRule="exact"/>
              <w:rPr>
                <w:sz w:val="20"/>
              </w:rPr>
            </w:pPr>
            <w:r>
              <w:rPr>
                <w:sz w:val="20"/>
              </w:rPr>
              <w:t>Rs. 115.01</w:t>
            </w:r>
          </w:p>
        </w:tc>
        <w:tc>
          <w:tcPr>
            <w:tcW w:w="2355" w:type="dxa"/>
            <w:vMerge/>
            <w:tcBorders>
              <w:top w:val="nil"/>
            </w:tcBorders>
          </w:tcPr>
          <w:p w:rsidR="00030318" w:rsidRDefault="00030318" w:rsidP="00030318">
            <w:pPr>
              <w:rPr>
                <w:sz w:val="2"/>
                <w:szCs w:val="2"/>
              </w:rPr>
            </w:pPr>
          </w:p>
        </w:tc>
      </w:tr>
      <w:tr w:rsidR="00030318" w:rsidTr="00030318">
        <w:trPr>
          <w:trHeight w:val="209"/>
        </w:trPr>
        <w:tc>
          <w:tcPr>
            <w:tcW w:w="4400" w:type="dxa"/>
            <w:tcBorders>
              <w:top w:val="nil"/>
              <w:bottom w:val="nil"/>
            </w:tcBorders>
          </w:tcPr>
          <w:p w:rsidR="00030318" w:rsidRDefault="00030318" w:rsidP="00030318">
            <w:pPr>
              <w:pStyle w:val="TableParagraph"/>
              <w:spacing w:line="189" w:lineRule="exact"/>
              <w:rPr>
                <w:sz w:val="20"/>
              </w:rPr>
            </w:pPr>
            <w:r>
              <w:rPr>
                <w:sz w:val="20"/>
              </w:rPr>
              <w:t>NAV (as at June 30 2014)</w:t>
            </w:r>
          </w:p>
        </w:tc>
        <w:tc>
          <w:tcPr>
            <w:tcW w:w="2441" w:type="dxa"/>
            <w:gridSpan w:val="2"/>
            <w:tcBorders>
              <w:top w:val="nil"/>
              <w:bottom w:val="nil"/>
            </w:tcBorders>
          </w:tcPr>
          <w:p w:rsidR="00030318" w:rsidRDefault="00030318" w:rsidP="00030318">
            <w:pPr>
              <w:pStyle w:val="TableParagraph"/>
              <w:spacing w:line="189" w:lineRule="exact"/>
              <w:rPr>
                <w:sz w:val="20"/>
              </w:rPr>
            </w:pPr>
            <w:r>
              <w:rPr>
                <w:sz w:val="20"/>
              </w:rPr>
              <w:t>Rs. 96.64</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NAV (as at 30 June 2013)</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109.980</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NAV (as at 30 June 2012)</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82.30</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NAV (as at 30 June 2011)</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71.01</w:t>
            </w:r>
          </w:p>
        </w:tc>
        <w:tc>
          <w:tcPr>
            <w:tcW w:w="2355" w:type="dxa"/>
            <w:vMerge/>
            <w:tcBorders>
              <w:top w:val="nil"/>
            </w:tcBorders>
          </w:tcPr>
          <w:p w:rsidR="00030318" w:rsidRDefault="00030318" w:rsidP="00030318">
            <w:pPr>
              <w:rPr>
                <w:sz w:val="2"/>
                <w:szCs w:val="2"/>
              </w:rPr>
            </w:pPr>
          </w:p>
        </w:tc>
      </w:tr>
      <w:tr w:rsidR="00030318" w:rsidTr="00030318">
        <w:trPr>
          <w:trHeight w:val="209"/>
        </w:trPr>
        <w:tc>
          <w:tcPr>
            <w:tcW w:w="4400" w:type="dxa"/>
            <w:tcBorders>
              <w:top w:val="nil"/>
              <w:bottom w:val="nil"/>
            </w:tcBorders>
          </w:tcPr>
          <w:p w:rsidR="00030318" w:rsidRDefault="00030318" w:rsidP="00030318">
            <w:pPr>
              <w:pStyle w:val="TableParagraph"/>
              <w:spacing w:line="189" w:lineRule="exact"/>
              <w:rPr>
                <w:sz w:val="20"/>
              </w:rPr>
            </w:pPr>
            <w:r>
              <w:rPr>
                <w:sz w:val="20"/>
              </w:rPr>
              <w:t>NAV (as at 30 June 2010)</w:t>
            </w:r>
          </w:p>
        </w:tc>
        <w:tc>
          <w:tcPr>
            <w:tcW w:w="2441" w:type="dxa"/>
            <w:gridSpan w:val="2"/>
            <w:tcBorders>
              <w:top w:val="nil"/>
              <w:bottom w:val="nil"/>
            </w:tcBorders>
          </w:tcPr>
          <w:p w:rsidR="00030318" w:rsidRDefault="00030318" w:rsidP="00030318">
            <w:pPr>
              <w:pStyle w:val="TableParagraph"/>
              <w:spacing w:line="189" w:lineRule="exact"/>
              <w:rPr>
                <w:sz w:val="20"/>
              </w:rPr>
            </w:pPr>
            <w:r>
              <w:rPr>
                <w:sz w:val="20"/>
              </w:rPr>
              <w:t>Rs. 95.18</w:t>
            </w:r>
          </w:p>
        </w:tc>
        <w:tc>
          <w:tcPr>
            <w:tcW w:w="2355" w:type="dxa"/>
            <w:vMerge/>
            <w:tcBorders>
              <w:top w:val="nil"/>
            </w:tcBorders>
          </w:tcPr>
          <w:p w:rsidR="00030318" w:rsidRDefault="00030318" w:rsidP="00030318">
            <w:pPr>
              <w:rPr>
                <w:sz w:val="2"/>
                <w:szCs w:val="2"/>
              </w:rPr>
            </w:pPr>
          </w:p>
        </w:tc>
      </w:tr>
      <w:tr w:rsidR="00030318" w:rsidTr="00030318">
        <w:trPr>
          <w:trHeight w:val="209"/>
        </w:trPr>
        <w:tc>
          <w:tcPr>
            <w:tcW w:w="4400" w:type="dxa"/>
            <w:tcBorders>
              <w:top w:val="nil"/>
              <w:bottom w:val="nil"/>
            </w:tcBorders>
          </w:tcPr>
          <w:p w:rsidR="00030318" w:rsidRDefault="00030318" w:rsidP="00030318">
            <w:pPr>
              <w:pStyle w:val="TableParagraph"/>
              <w:spacing w:line="189" w:lineRule="exact"/>
              <w:rPr>
                <w:sz w:val="20"/>
              </w:rPr>
            </w:pPr>
            <w:r>
              <w:rPr>
                <w:sz w:val="20"/>
              </w:rPr>
              <w:t>NAV (as at 30 June 2009)</w:t>
            </w:r>
          </w:p>
        </w:tc>
        <w:tc>
          <w:tcPr>
            <w:tcW w:w="2441" w:type="dxa"/>
            <w:gridSpan w:val="2"/>
            <w:tcBorders>
              <w:top w:val="nil"/>
              <w:bottom w:val="nil"/>
            </w:tcBorders>
          </w:tcPr>
          <w:p w:rsidR="00030318" w:rsidRDefault="00030318" w:rsidP="00030318">
            <w:pPr>
              <w:pStyle w:val="TableParagraph"/>
              <w:spacing w:line="189" w:lineRule="exact"/>
              <w:rPr>
                <w:sz w:val="20"/>
              </w:rPr>
            </w:pPr>
            <w:r>
              <w:rPr>
                <w:sz w:val="20"/>
              </w:rPr>
              <w:t>Rs. 81.80</w:t>
            </w:r>
          </w:p>
        </w:tc>
        <w:tc>
          <w:tcPr>
            <w:tcW w:w="2355" w:type="dxa"/>
            <w:vMerge/>
            <w:tcBorders>
              <w:top w:val="nil"/>
            </w:tcBorders>
          </w:tcPr>
          <w:p w:rsidR="00030318" w:rsidRDefault="00030318" w:rsidP="00030318">
            <w:pPr>
              <w:rPr>
                <w:sz w:val="2"/>
                <w:szCs w:val="2"/>
              </w:rPr>
            </w:pPr>
          </w:p>
        </w:tc>
      </w:tr>
      <w:tr w:rsidR="00030318" w:rsidTr="00030318">
        <w:trPr>
          <w:trHeight w:val="210"/>
        </w:trPr>
        <w:tc>
          <w:tcPr>
            <w:tcW w:w="4400" w:type="dxa"/>
            <w:tcBorders>
              <w:top w:val="nil"/>
              <w:bottom w:val="nil"/>
            </w:tcBorders>
          </w:tcPr>
          <w:p w:rsidR="00030318" w:rsidRDefault="00030318" w:rsidP="00030318">
            <w:pPr>
              <w:pStyle w:val="TableParagraph"/>
              <w:spacing w:line="190" w:lineRule="exact"/>
              <w:rPr>
                <w:sz w:val="20"/>
              </w:rPr>
            </w:pPr>
            <w:r>
              <w:rPr>
                <w:sz w:val="20"/>
              </w:rPr>
              <w:t>NAV (as at 30 June 2008)</w:t>
            </w:r>
          </w:p>
        </w:tc>
        <w:tc>
          <w:tcPr>
            <w:tcW w:w="2441" w:type="dxa"/>
            <w:gridSpan w:val="2"/>
            <w:tcBorders>
              <w:top w:val="nil"/>
              <w:bottom w:val="nil"/>
            </w:tcBorders>
          </w:tcPr>
          <w:p w:rsidR="00030318" w:rsidRDefault="00030318" w:rsidP="00030318">
            <w:pPr>
              <w:pStyle w:val="TableParagraph"/>
              <w:spacing w:line="190" w:lineRule="exact"/>
              <w:rPr>
                <w:sz w:val="20"/>
              </w:rPr>
            </w:pPr>
            <w:r>
              <w:rPr>
                <w:sz w:val="20"/>
              </w:rPr>
              <w:t>Rs. 105.36</w:t>
            </w:r>
          </w:p>
        </w:tc>
        <w:tc>
          <w:tcPr>
            <w:tcW w:w="2355" w:type="dxa"/>
            <w:vMerge/>
            <w:tcBorders>
              <w:top w:val="nil"/>
            </w:tcBorders>
          </w:tcPr>
          <w:p w:rsidR="00030318" w:rsidRDefault="00030318" w:rsidP="00030318">
            <w:pPr>
              <w:rPr>
                <w:sz w:val="2"/>
                <w:szCs w:val="2"/>
              </w:rPr>
            </w:pPr>
          </w:p>
        </w:tc>
      </w:tr>
      <w:tr w:rsidR="00030318" w:rsidTr="00030318">
        <w:trPr>
          <w:trHeight w:val="219"/>
        </w:trPr>
        <w:tc>
          <w:tcPr>
            <w:tcW w:w="4400" w:type="dxa"/>
            <w:tcBorders>
              <w:top w:val="nil"/>
            </w:tcBorders>
          </w:tcPr>
          <w:p w:rsidR="00030318" w:rsidRDefault="00030318" w:rsidP="00030318">
            <w:pPr>
              <w:pStyle w:val="TableParagraph"/>
              <w:spacing w:line="199" w:lineRule="exact"/>
              <w:rPr>
                <w:sz w:val="20"/>
              </w:rPr>
            </w:pPr>
            <w:r>
              <w:rPr>
                <w:sz w:val="20"/>
              </w:rPr>
              <w:t>NAV (as at 30 June 2007)</w:t>
            </w:r>
          </w:p>
        </w:tc>
        <w:tc>
          <w:tcPr>
            <w:tcW w:w="2441" w:type="dxa"/>
            <w:gridSpan w:val="2"/>
            <w:tcBorders>
              <w:top w:val="nil"/>
            </w:tcBorders>
          </w:tcPr>
          <w:p w:rsidR="00030318" w:rsidRDefault="00030318" w:rsidP="00030318">
            <w:pPr>
              <w:pStyle w:val="TableParagraph"/>
              <w:spacing w:line="199" w:lineRule="exact"/>
              <w:rPr>
                <w:sz w:val="20"/>
              </w:rPr>
            </w:pPr>
            <w:r>
              <w:rPr>
                <w:sz w:val="20"/>
              </w:rPr>
              <w:t>Rs. 114.86</w:t>
            </w:r>
          </w:p>
        </w:tc>
        <w:tc>
          <w:tcPr>
            <w:tcW w:w="2355" w:type="dxa"/>
            <w:vMerge/>
            <w:tcBorders>
              <w:top w:val="nil"/>
            </w:tcBorders>
          </w:tcPr>
          <w:p w:rsidR="00030318" w:rsidRDefault="00030318" w:rsidP="00030318">
            <w:pPr>
              <w:rPr>
                <w:sz w:val="2"/>
                <w:szCs w:val="2"/>
              </w:rPr>
            </w:pPr>
          </w:p>
        </w:tc>
      </w:tr>
      <w:tr w:rsidR="00030318" w:rsidTr="00030318">
        <w:trPr>
          <w:trHeight w:val="460"/>
        </w:trPr>
        <w:tc>
          <w:tcPr>
            <w:tcW w:w="4400" w:type="dxa"/>
          </w:tcPr>
          <w:p w:rsidR="00030318" w:rsidRDefault="00030318" w:rsidP="00030318">
            <w:pPr>
              <w:pStyle w:val="TableParagraph"/>
              <w:spacing w:before="112"/>
              <w:rPr>
                <w:sz w:val="20"/>
              </w:rPr>
            </w:pPr>
            <w:r>
              <w:rPr>
                <w:sz w:val="20"/>
              </w:rPr>
              <w:t>Listing</w:t>
            </w:r>
          </w:p>
        </w:tc>
        <w:tc>
          <w:tcPr>
            <w:tcW w:w="1707" w:type="dxa"/>
            <w:tcBorders>
              <w:right w:val="nil"/>
            </w:tcBorders>
          </w:tcPr>
          <w:p w:rsidR="00030318" w:rsidRDefault="00030318" w:rsidP="00030318">
            <w:pPr>
              <w:pStyle w:val="TableParagraph"/>
              <w:spacing w:line="230" w:lineRule="exact"/>
              <w:rPr>
                <w:sz w:val="20"/>
              </w:rPr>
            </w:pPr>
            <w:r>
              <w:rPr>
                <w:sz w:val="20"/>
              </w:rPr>
              <w:t xml:space="preserve">Pakistan </w:t>
            </w:r>
            <w:r>
              <w:rPr>
                <w:w w:val="95"/>
                <w:sz w:val="20"/>
              </w:rPr>
              <w:t>Exchange</w:t>
            </w:r>
          </w:p>
        </w:tc>
        <w:tc>
          <w:tcPr>
            <w:tcW w:w="734" w:type="dxa"/>
            <w:tcBorders>
              <w:left w:val="nil"/>
            </w:tcBorders>
          </w:tcPr>
          <w:p w:rsidR="00030318" w:rsidRDefault="00030318" w:rsidP="00030318">
            <w:pPr>
              <w:pStyle w:val="TableParagraph"/>
              <w:spacing w:line="227" w:lineRule="exact"/>
              <w:ind w:left="133"/>
              <w:rPr>
                <w:sz w:val="20"/>
              </w:rPr>
            </w:pPr>
            <w:r>
              <w:rPr>
                <w:sz w:val="20"/>
              </w:rPr>
              <w:t>Stock</w:t>
            </w:r>
          </w:p>
        </w:tc>
        <w:tc>
          <w:tcPr>
            <w:tcW w:w="2355" w:type="dxa"/>
          </w:tcPr>
          <w:p w:rsidR="00030318" w:rsidRDefault="00030318" w:rsidP="00030318">
            <w:pPr>
              <w:pStyle w:val="TableParagraph"/>
              <w:ind w:left="0"/>
              <w:rPr>
                <w:rFonts w:ascii="Times New Roman"/>
                <w:sz w:val="18"/>
              </w:rPr>
            </w:pPr>
          </w:p>
        </w:tc>
      </w:tr>
      <w:tr w:rsidR="00030318" w:rsidTr="00030318">
        <w:trPr>
          <w:trHeight w:val="460"/>
        </w:trPr>
        <w:tc>
          <w:tcPr>
            <w:tcW w:w="4400" w:type="dxa"/>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before="1" w:line="213" w:lineRule="exact"/>
              <w:rPr>
                <w:sz w:val="20"/>
              </w:rPr>
            </w:pPr>
            <w:r>
              <w:rPr>
                <w:sz w:val="20"/>
              </w:rPr>
              <w:t>(Credit Rating Agency: JCR-VIS)</w:t>
            </w:r>
          </w:p>
        </w:tc>
        <w:tc>
          <w:tcPr>
            <w:tcW w:w="2441" w:type="dxa"/>
            <w:gridSpan w:val="2"/>
          </w:tcPr>
          <w:p w:rsidR="00030318" w:rsidRDefault="00030318" w:rsidP="00030318">
            <w:pPr>
              <w:pStyle w:val="TableParagraph"/>
              <w:spacing w:line="227" w:lineRule="exact"/>
              <w:rPr>
                <w:sz w:val="20"/>
              </w:rPr>
            </w:pPr>
            <w:r>
              <w:rPr>
                <w:sz w:val="20"/>
              </w:rPr>
              <w:t>MFR 5-Star (JCR-VIS)</w:t>
            </w:r>
          </w:p>
          <w:p w:rsidR="00030318" w:rsidRDefault="00030318" w:rsidP="00030318">
            <w:pPr>
              <w:pStyle w:val="TableParagraph"/>
              <w:spacing w:before="1" w:line="213" w:lineRule="exact"/>
              <w:rPr>
                <w:sz w:val="20"/>
              </w:rPr>
            </w:pPr>
            <w:r>
              <w:rPr>
                <w:sz w:val="20"/>
              </w:rPr>
              <w:t>(3 year avg)</w:t>
            </w:r>
          </w:p>
        </w:tc>
        <w:tc>
          <w:tcPr>
            <w:tcW w:w="2355" w:type="dxa"/>
          </w:tcPr>
          <w:p w:rsidR="00030318" w:rsidRDefault="00030318" w:rsidP="00030318">
            <w:pPr>
              <w:pStyle w:val="TableParagraph"/>
              <w:ind w:left="0"/>
              <w:rPr>
                <w:rFonts w:ascii="Times New Roman"/>
                <w:sz w:val="18"/>
              </w:rPr>
            </w:pPr>
          </w:p>
        </w:tc>
      </w:tr>
      <w:tr w:rsidR="00030318" w:rsidTr="00030318">
        <w:trPr>
          <w:trHeight w:val="229"/>
        </w:trPr>
        <w:tc>
          <w:tcPr>
            <w:tcW w:w="4400" w:type="dxa"/>
          </w:tcPr>
          <w:p w:rsidR="00030318" w:rsidRDefault="00030318" w:rsidP="00030318">
            <w:pPr>
              <w:pStyle w:val="TableParagraph"/>
              <w:spacing w:line="210" w:lineRule="exact"/>
              <w:rPr>
                <w:sz w:val="20"/>
              </w:rPr>
            </w:pPr>
            <w:r>
              <w:rPr>
                <w:sz w:val="20"/>
              </w:rPr>
              <w:t>Performance:</w:t>
            </w:r>
          </w:p>
        </w:tc>
        <w:tc>
          <w:tcPr>
            <w:tcW w:w="2441" w:type="dxa"/>
            <w:gridSpan w:val="2"/>
          </w:tcPr>
          <w:p w:rsidR="00030318" w:rsidRDefault="00030318" w:rsidP="00030318">
            <w:pPr>
              <w:pStyle w:val="TableParagraph"/>
              <w:spacing w:line="210" w:lineRule="exact"/>
              <w:rPr>
                <w:sz w:val="20"/>
              </w:rPr>
            </w:pPr>
            <w:r>
              <w:rPr>
                <w:sz w:val="20"/>
              </w:rPr>
              <w:t>Return</w:t>
            </w:r>
          </w:p>
        </w:tc>
        <w:tc>
          <w:tcPr>
            <w:tcW w:w="2355" w:type="dxa"/>
          </w:tcPr>
          <w:p w:rsidR="00030318" w:rsidRDefault="00030318" w:rsidP="00030318">
            <w:pPr>
              <w:pStyle w:val="TableParagraph"/>
              <w:spacing w:line="210" w:lineRule="exact"/>
              <w:ind w:left="108"/>
              <w:rPr>
                <w:sz w:val="20"/>
              </w:rPr>
            </w:pPr>
            <w:r>
              <w:rPr>
                <w:sz w:val="20"/>
              </w:rPr>
              <w:t>Payout</w:t>
            </w:r>
          </w:p>
        </w:tc>
      </w:tr>
      <w:tr w:rsidR="00030318" w:rsidTr="00030318">
        <w:trPr>
          <w:trHeight w:val="230"/>
        </w:trPr>
        <w:tc>
          <w:tcPr>
            <w:tcW w:w="4400" w:type="dxa"/>
            <w:tcBorders>
              <w:bottom w:val="nil"/>
            </w:tcBorders>
          </w:tcPr>
          <w:p w:rsidR="00030318" w:rsidRDefault="00030318" w:rsidP="00030318">
            <w:pPr>
              <w:pStyle w:val="TableParagraph"/>
              <w:spacing w:line="211" w:lineRule="exact"/>
              <w:rPr>
                <w:sz w:val="20"/>
              </w:rPr>
            </w:pPr>
            <w:r>
              <w:rPr>
                <w:sz w:val="20"/>
              </w:rPr>
              <w:t>Year ended June 30 2017</w:t>
            </w:r>
          </w:p>
        </w:tc>
        <w:tc>
          <w:tcPr>
            <w:tcW w:w="2441" w:type="dxa"/>
            <w:gridSpan w:val="2"/>
            <w:tcBorders>
              <w:bottom w:val="nil"/>
            </w:tcBorders>
          </w:tcPr>
          <w:p w:rsidR="00030318" w:rsidRDefault="00030318" w:rsidP="00030318">
            <w:pPr>
              <w:pStyle w:val="TableParagraph"/>
              <w:spacing w:line="211" w:lineRule="exact"/>
              <w:rPr>
                <w:sz w:val="20"/>
              </w:rPr>
            </w:pPr>
            <w:r>
              <w:rPr>
                <w:sz w:val="20"/>
              </w:rPr>
              <w:t>29.19%</w:t>
            </w:r>
          </w:p>
        </w:tc>
        <w:tc>
          <w:tcPr>
            <w:tcW w:w="2355" w:type="dxa"/>
            <w:tcBorders>
              <w:bottom w:val="nil"/>
            </w:tcBorders>
          </w:tcPr>
          <w:p w:rsidR="00030318" w:rsidRDefault="00030318" w:rsidP="00030318">
            <w:pPr>
              <w:pStyle w:val="TableParagraph"/>
              <w:spacing w:line="211" w:lineRule="exact"/>
              <w:ind w:left="108"/>
              <w:rPr>
                <w:sz w:val="20"/>
              </w:rPr>
            </w:pPr>
            <w:r>
              <w:rPr>
                <w:sz w:val="20"/>
              </w:rPr>
              <w:t>Rs. 13.00 per unit</w:t>
            </w:r>
          </w:p>
        </w:tc>
      </w:tr>
      <w:tr w:rsidR="00030318" w:rsidTr="00030318">
        <w:trPr>
          <w:trHeight w:val="230"/>
        </w:trPr>
        <w:tc>
          <w:tcPr>
            <w:tcW w:w="4400" w:type="dxa"/>
            <w:tcBorders>
              <w:top w:val="nil"/>
              <w:bottom w:val="nil"/>
            </w:tcBorders>
          </w:tcPr>
          <w:p w:rsidR="00030318" w:rsidRDefault="00030318" w:rsidP="00030318">
            <w:pPr>
              <w:pStyle w:val="TableParagraph"/>
              <w:spacing w:line="210" w:lineRule="exact"/>
              <w:rPr>
                <w:sz w:val="20"/>
              </w:rPr>
            </w:pPr>
            <w:r>
              <w:rPr>
                <w:sz w:val="20"/>
              </w:rPr>
              <w:t>Year ended June 30 2016</w:t>
            </w:r>
          </w:p>
        </w:tc>
        <w:tc>
          <w:tcPr>
            <w:tcW w:w="2441" w:type="dxa"/>
            <w:gridSpan w:val="2"/>
            <w:tcBorders>
              <w:top w:val="nil"/>
              <w:bottom w:val="nil"/>
            </w:tcBorders>
          </w:tcPr>
          <w:p w:rsidR="00030318" w:rsidRDefault="00030318" w:rsidP="00030318">
            <w:pPr>
              <w:pStyle w:val="TableParagraph"/>
              <w:spacing w:line="210" w:lineRule="exact"/>
              <w:rPr>
                <w:sz w:val="20"/>
              </w:rPr>
            </w:pPr>
            <w:r>
              <w:rPr>
                <w:sz w:val="20"/>
              </w:rPr>
              <w:t>10.32%</w:t>
            </w:r>
          </w:p>
        </w:tc>
        <w:tc>
          <w:tcPr>
            <w:tcW w:w="2355" w:type="dxa"/>
            <w:tcBorders>
              <w:top w:val="nil"/>
              <w:bottom w:val="nil"/>
            </w:tcBorders>
          </w:tcPr>
          <w:p w:rsidR="00030318" w:rsidRDefault="00030318" w:rsidP="00030318">
            <w:pPr>
              <w:pStyle w:val="TableParagraph"/>
              <w:spacing w:line="210" w:lineRule="exact"/>
              <w:ind w:left="108"/>
              <w:rPr>
                <w:sz w:val="20"/>
              </w:rPr>
            </w:pPr>
            <w:r>
              <w:rPr>
                <w:sz w:val="20"/>
              </w:rPr>
              <w:t>Rs. 3.00 per unit</w:t>
            </w:r>
          </w:p>
        </w:tc>
      </w:tr>
      <w:tr w:rsidR="00030318" w:rsidTr="00030318">
        <w:trPr>
          <w:trHeight w:val="230"/>
        </w:trPr>
        <w:tc>
          <w:tcPr>
            <w:tcW w:w="4400" w:type="dxa"/>
            <w:tcBorders>
              <w:top w:val="nil"/>
              <w:bottom w:val="nil"/>
            </w:tcBorders>
          </w:tcPr>
          <w:p w:rsidR="00030318" w:rsidRDefault="00030318" w:rsidP="00030318">
            <w:pPr>
              <w:pStyle w:val="TableParagraph"/>
              <w:spacing w:line="210" w:lineRule="exact"/>
              <w:rPr>
                <w:sz w:val="20"/>
              </w:rPr>
            </w:pPr>
            <w:r>
              <w:rPr>
                <w:sz w:val="20"/>
              </w:rPr>
              <w:t>Year ended June 30 2015</w:t>
            </w:r>
          </w:p>
        </w:tc>
        <w:tc>
          <w:tcPr>
            <w:tcW w:w="2441" w:type="dxa"/>
            <w:gridSpan w:val="2"/>
            <w:tcBorders>
              <w:top w:val="nil"/>
              <w:bottom w:val="nil"/>
            </w:tcBorders>
          </w:tcPr>
          <w:p w:rsidR="00030318" w:rsidRDefault="00030318" w:rsidP="00030318">
            <w:pPr>
              <w:pStyle w:val="TableParagraph"/>
              <w:spacing w:line="210" w:lineRule="exact"/>
              <w:rPr>
                <w:sz w:val="20"/>
              </w:rPr>
            </w:pPr>
            <w:r>
              <w:rPr>
                <w:sz w:val="20"/>
              </w:rPr>
              <w:t>27.07%</w:t>
            </w:r>
          </w:p>
        </w:tc>
        <w:tc>
          <w:tcPr>
            <w:tcW w:w="2355" w:type="dxa"/>
            <w:tcBorders>
              <w:top w:val="nil"/>
              <w:bottom w:val="nil"/>
            </w:tcBorders>
          </w:tcPr>
          <w:p w:rsidR="00030318" w:rsidRDefault="00030318" w:rsidP="00030318">
            <w:pPr>
              <w:pStyle w:val="TableParagraph"/>
              <w:spacing w:line="210" w:lineRule="exact"/>
              <w:ind w:left="108"/>
              <w:rPr>
                <w:sz w:val="20"/>
              </w:rPr>
            </w:pPr>
            <w:r>
              <w:rPr>
                <w:sz w:val="20"/>
              </w:rPr>
              <w:t>Rs. 7.74 per unit</w:t>
            </w:r>
          </w:p>
        </w:tc>
      </w:tr>
      <w:tr w:rsidR="00030318" w:rsidTr="00030318">
        <w:trPr>
          <w:trHeight w:val="230"/>
        </w:trPr>
        <w:tc>
          <w:tcPr>
            <w:tcW w:w="4400" w:type="dxa"/>
            <w:tcBorders>
              <w:top w:val="nil"/>
              <w:bottom w:val="nil"/>
            </w:tcBorders>
          </w:tcPr>
          <w:p w:rsidR="00030318" w:rsidRDefault="00030318" w:rsidP="00030318">
            <w:pPr>
              <w:pStyle w:val="TableParagraph"/>
              <w:spacing w:line="210" w:lineRule="exact"/>
              <w:rPr>
                <w:sz w:val="20"/>
              </w:rPr>
            </w:pPr>
            <w:r>
              <w:rPr>
                <w:sz w:val="20"/>
              </w:rPr>
              <w:t>Year ended June 30 2014</w:t>
            </w:r>
          </w:p>
        </w:tc>
        <w:tc>
          <w:tcPr>
            <w:tcW w:w="2441" w:type="dxa"/>
            <w:gridSpan w:val="2"/>
            <w:tcBorders>
              <w:top w:val="nil"/>
              <w:bottom w:val="nil"/>
            </w:tcBorders>
          </w:tcPr>
          <w:p w:rsidR="00030318" w:rsidRDefault="00030318" w:rsidP="00030318">
            <w:pPr>
              <w:pStyle w:val="TableParagraph"/>
              <w:spacing w:line="210" w:lineRule="exact"/>
              <w:rPr>
                <w:sz w:val="20"/>
              </w:rPr>
            </w:pPr>
            <w:r>
              <w:rPr>
                <w:sz w:val="20"/>
              </w:rPr>
              <w:t>34.36%</w:t>
            </w:r>
          </w:p>
        </w:tc>
        <w:tc>
          <w:tcPr>
            <w:tcW w:w="2355" w:type="dxa"/>
            <w:tcBorders>
              <w:top w:val="nil"/>
              <w:bottom w:val="nil"/>
            </w:tcBorders>
          </w:tcPr>
          <w:p w:rsidR="00030318" w:rsidRDefault="00030318" w:rsidP="00030318">
            <w:pPr>
              <w:pStyle w:val="TableParagraph"/>
              <w:spacing w:line="210" w:lineRule="exact"/>
              <w:ind w:left="108"/>
              <w:rPr>
                <w:sz w:val="20"/>
              </w:rPr>
            </w:pPr>
            <w:r>
              <w:rPr>
                <w:sz w:val="20"/>
              </w:rPr>
              <w:t>Rs. 23.75 per unit</w:t>
            </w:r>
          </w:p>
        </w:tc>
      </w:tr>
      <w:tr w:rsidR="00030318" w:rsidTr="00030318">
        <w:trPr>
          <w:trHeight w:val="230"/>
        </w:trPr>
        <w:tc>
          <w:tcPr>
            <w:tcW w:w="4400" w:type="dxa"/>
            <w:tcBorders>
              <w:top w:val="nil"/>
              <w:bottom w:val="nil"/>
            </w:tcBorders>
          </w:tcPr>
          <w:p w:rsidR="00030318" w:rsidRDefault="00030318" w:rsidP="00030318">
            <w:pPr>
              <w:pStyle w:val="TableParagraph"/>
              <w:spacing w:line="210" w:lineRule="exact"/>
              <w:rPr>
                <w:sz w:val="20"/>
              </w:rPr>
            </w:pPr>
            <w:r>
              <w:rPr>
                <w:sz w:val="20"/>
              </w:rPr>
              <w:t>Year ended 30 June 2013</w:t>
            </w:r>
          </w:p>
        </w:tc>
        <w:tc>
          <w:tcPr>
            <w:tcW w:w="2441" w:type="dxa"/>
            <w:gridSpan w:val="2"/>
            <w:tcBorders>
              <w:top w:val="nil"/>
              <w:bottom w:val="nil"/>
            </w:tcBorders>
          </w:tcPr>
          <w:p w:rsidR="00030318" w:rsidRDefault="00030318" w:rsidP="00030318">
            <w:pPr>
              <w:pStyle w:val="TableParagraph"/>
              <w:spacing w:line="210" w:lineRule="exact"/>
              <w:rPr>
                <w:sz w:val="20"/>
              </w:rPr>
            </w:pPr>
            <w:r>
              <w:rPr>
                <w:sz w:val="20"/>
              </w:rPr>
              <w:t>49.76%</w:t>
            </w:r>
          </w:p>
        </w:tc>
        <w:tc>
          <w:tcPr>
            <w:tcW w:w="2355" w:type="dxa"/>
            <w:tcBorders>
              <w:top w:val="nil"/>
              <w:bottom w:val="nil"/>
            </w:tcBorders>
          </w:tcPr>
          <w:p w:rsidR="00030318" w:rsidRDefault="00030318" w:rsidP="00030318">
            <w:pPr>
              <w:pStyle w:val="TableParagraph"/>
              <w:spacing w:line="210" w:lineRule="exact"/>
              <w:ind w:left="108"/>
              <w:rPr>
                <w:sz w:val="20"/>
              </w:rPr>
            </w:pPr>
            <w:r>
              <w:rPr>
                <w:sz w:val="20"/>
              </w:rPr>
              <w:t>Rs. 19.94 per unit</w:t>
            </w:r>
          </w:p>
        </w:tc>
      </w:tr>
      <w:tr w:rsidR="00030318" w:rsidTr="00030318">
        <w:trPr>
          <w:trHeight w:val="229"/>
        </w:trPr>
        <w:tc>
          <w:tcPr>
            <w:tcW w:w="4400" w:type="dxa"/>
            <w:tcBorders>
              <w:top w:val="nil"/>
              <w:bottom w:val="nil"/>
            </w:tcBorders>
          </w:tcPr>
          <w:p w:rsidR="00030318" w:rsidRDefault="00030318" w:rsidP="00030318">
            <w:pPr>
              <w:pStyle w:val="TableParagraph"/>
              <w:spacing w:line="209" w:lineRule="exact"/>
              <w:rPr>
                <w:sz w:val="20"/>
              </w:rPr>
            </w:pPr>
            <w:r>
              <w:rPr>
                <w:sz w:val="20"/>
              </w:rPr>
              <w:t>Year ended 30 June 2012</w:t>
            </w:r>
          </w:p>
        </w:tc>
        <w:tc>
          <w:tcPr>
            <w:tcW w:w="2441" w:type="dxa"/>
            <w:gridSpan w:val="2"/>
            <w:tcBorders>
              <w:top w:val="nil"/>
              <w:bottom w:val="nil"/>
            </w:tcBorders>
          </w:tcPr>
          <w:p w:rsidR="00030318" w:rsidRDefault="00030318" w:rsidP="00030318">
            <w:pPr>
              <w:pStyle w:val="TableParagraph"/>
              <w:spacing w:line="209" w:lineRule="exact"/>
              <w:rPr>
                <w:sz w:val="20"/>
              </w:rPr>
            </w:pPr>
            <w:r>
              <w:rPr>
                <w:sz w:val="20"/>
              </w:rPr>
              <w:t>17.75%</w:t>
            </w:r>
          </w:p>
        </w:tc>
        <w:tc>
          <w:tcPr>
            <w:tcW w:w="2355" w:type="dxa"/>
            <w:tcBorders>
              <w:top w:val="nil"/>
              <w:bottom w:val="nil"/>
            </w:tcBorders>
          </w:tcPr>
          <w:p w:rsidR="00030318" w:rsidRDefault="00030318" w:rsidP="00030318">
            <w:pPr>
              <w:pStyle w:val="TableParagraph"/>
              <w:spacing w:line="209" w:lineRule="exact"/>
              <w:ind w:left="108"/>
              <w:rPr>
                <w:sz w:val="20"/>
              </w:rPr>
            </w:pPr>
            <w:r>
              <w:rPr>
                <w:sz w:val="20"/>
              </w:rPr>
              <w:t>Rs. 9 per unit</w:t>
            </w:r>
          </w:p>
        </w:tc>
      </w:tr>
      <w:tr w:rsidR="00030318" w:rsidTr="00030318">
        <w:trPr>
          <w:trHeight w:val="229"/>
        </w:trPr>
        <w:tc>
          <w:tcPr>
            <w:tcW w:w="4400" w:type="dxa"/>
            <w:tcBorders>
              <w:top w:val="nil"/>
              <w:bottom w:val="nil"/>
            </w:tcBorders>
          </w:tcPr>
          <w:p w:rsidR="00030318" w:rsidRDefault="00030318" w:rsidP="00030318">
            <w:pPr>
              <w:pStyle w:val="TableParagraph"/>
              <w:spacing w:line="209" w:lineRule="exact"/>
              <w:rPr>
                <w:sz w:val="20"/>
              </w:rPr>
            </w:pPr>
            <w:r>
              <w:rPr>
                <w:sz w:val="20"/>
              </w:rPr>
              <w:t>Year ended 30 June 2011</w:t>
            </w:r>
          </w:p>
        </w:tc>
        <w:tc>
          <w:tcPr>
            <w:tcW w:w="2441" w:type="dxa"/>
            <w:gridSpan w:val="2"/>
            <w:tcBorders>
              <w:top w:val="nil"/>
              <w:bottom w:val="nil"/>
            </w:tcBorders>
          </w:tcPr>
          <w:p w:rsidR="00030318" w:rsidRDefault="00030318" w:rsidP="00030318">
            <w:pPr>
              <w:pStyle w:val="TableParagraph"/>
              <w:spacing w:line="209" w:lineRule="exact"/>
              <w:rPr>
                <w:sz w:val="20"/>
              </w:rPr>
            </w:pPr>
            <w:r>
              <w:rPr>
                <w:sz w:val="20"/>
              </w:rPr>
              <w:t>26.41%</w:t>
            </w:r>
          </w:p>
        </w:tc>
        <w:tc>
          <w:tcPr>
            <w:tcW w:w="2355" w:type="dxa"/>
            <w:tcBorders>
              <w:top w:val="nil"/>
              <w:bottom w:val="nil"/>
            </w:tcBorders>
          </w:tcPr>
          <w:p w:rsidR="00030318" w:rsidRDefault="00030318" w:rsidP="00030318">
            <w:pPr>
              <w:pStyle w:val="TableParagraph"/>
              <w:spacing w:line="209" w:lineRule="exact"/>
              <w:ind w:left="108"/>
              <w:rPr>
                <w:sz w:val="20"/>
              </w:rPr>
            </w:pPr>
            <w:r>
              <w:rPr>
                <w:sz w:val="20"/>
              </w:rPr>
              <w:t>Rs. 14.46 per unit</w:t>
            </w:r>
          </w:p>
        </w:tc>
      </w:tr>
      <w:tr w:rsidR="00030318" w:rsidTr="00030318">
        <w:trPr>
          <w:trHeight w:val="230"/>
        </w:trPr>
        <w:tc>
          <w:tcPr>
            <w:tcW w:w="4400" w:type="dxa"/>
            <w:tcBorders>
              <w:top w:val="nil"/>
              <w:bottom w:val="nil"/>
            </w:tcBorders>
          </w:tcPr>
          <w:p w:rsidR="00030318" w:rsidRDefault="00030318" w:rsidP="00030318">
            <w:pPr>
              <w:pStyle w:val="TableParagraph"/>
              <w:spacing w:line="210" w:lineRule="exact"/>
              <w:rPr>
                <w:sz w:val="20"/>
              </w:rPr>
            </w:pPr>
            <w:r>
              <w:rPr>
                <w:sz w:val="20"/>
              </w:rPr>
              <w:t>Year ended 30 June 2010</w:t>
            </w:r>
          </w:p>
        </w:tc>
        <w:tc>
          <w:tcPr>
            <w:tcW w:w="2441" w:type="dxa"/>
            <w:gridSpan w:val="2"/>
            <w:tcBorders>
              <w:top w:val="nil"/>
              <w:bottom w:val="nil"/>
            </w:tcBorders>
          </w:tcPr>
          <w:p w:rsidR="00030318" w:rsidRDefault="00030318" w:rsidP="00030318">
            <w:pPr>
              <w:pStyle w:val="TableParagraph"/>
              <w:spacing w:line="210" w:lineRule="exact"/>
              <w:rPr>
                <w:sz w:val="20"/>
              </w:rPr>
            </w:pPr>
            <w:r>
              <w:rPr>
                <w:sz w:val="20"/>
              </w:rPr>
              <w:t>16.36%</w:t>
            </w:r>
          </w:p>
        </w:tc>
        <w:tc>
          <w:tcPr>
            <w:tcW w:w="2355" w:type="dxa"/>
            <w:tcBorders>
              <w:top w:val="nil"/>
              <w:bottom w:val="nil"/>
            </w:tcBorders>
          </w:tcPr>
          <w:p w:rsidR="00030318" w:rsidRDefault="00030318" w:rsidP="00030318">
            <w:pPr>
              <w:pStyle w:val="TableParagraph"/>
              <w:spacing w:line="210" w:lineRule="exact"/>
              <w:ind w:left="108"/>
              <w:rPr>
                <w:sz w:val="20"/>
              </w:rPr>
            </w:pPr>
            <w:r>
              <w:rPr>
                <w:sz w:val="20"/>
              </w:rPr>
              <w:t>Rs. 28.30 per unit</w:t>
            </w:r>
          </w:p>
        </w:tc>
      </w:tr>
      <w:tr w:rsidR="00030318" w:rsidTr="00030318">
        <w:trPr>
          <w:trHeight w:val="230"/>
        </w:trPr>
        <w:tc>
          <w:tcPr>
            <w:tcW w:w="4400" w:type="dxa"/>
            <w:tcBorders>
              <w:top w:val="nil"/>
              <w:bottom w:val="nil"/>
            </w:tcBorders>
          </w:tcPr>
          <w:p w:rsidR="00030318" w:rsidRDefault="00030318" w:rsidP="00030318">
            <w:pPr>
              <w:pStyle w:val="TableParagraph"/>
              <w:spacing w:line="210" w:lineRule="exact"/>
              <w:rPr>
                <w:sz w:val="20"/>
              </w:rPr>
            </w:pPr>
            <w:r>
              <w:rPr>
                <w:sz w:val="20"/>
              </w:rPr>
              <w:t>Year ended 30 June 2009</w:t>
            </w:r>
          </w:p>
        </w:tc>
        <w:tc>
          <w:tcPr>
            <w:tcW w:w="2441" w:type="dxa"/>
            <w:gridSpan w:val="2"/>
            <w:tcBorders>
              <w:top w:val="nil"/>
              <w:bottom w:val="nil"/>
            </w:tcBorders>
          </w:tcPr>
          <w:p w:rsidR="00030318" w:rsidRDefault="00030318" w:rsidP="00030318">
            <w:pPr>
              <w:pStyle w:val="TableParagraph"/>
              <w:spacing w:line="210" w:lineRule="exact"/>
              <w:rPr>
                <w:sz w:val="20"/>
              </w:rPr>
            </w:pPr>
            <w:r>
              <w:rPr>
                <w:sz w:val="20"/>
              </w:rPr>
              <w:t>-18.38%</w:t>
            </w:r>
          </w:p>
        </w:tc>
        <w:tc>
          <w:tcPr>
            <w:tcW w:w="2355" w:type="dxa"/>
            <w:tcBorders>
              <w:top w:val="nil"/>
              <w:bottom w:val="nil"/>
            </w:tcBorders>
          </w:tcPr>
          <w:p w:rsidR="00030318" w:rsidRDefault="00030318" w:rsidP="00030318">
            <w:pPr>
              <w:pStyle w:val="TableParagraph"/>
              <w:spacing w:line="210" w:lineRule="exact"/>
              <w:ind w:left="108"/>
              <w:rPr>
                <w:sz w:val="20"/>
              </w:rPr>
            </w:pPr>
            <w:r>
              <w:rPr>
                <w:sz w:val="20"/>
              </w:rPr>
              <w:t>NIL</w:t>
            </w:r>
          </w:p>
        </w:tc>
      </w:tr>
      <w:tr w:rsidR="00030318" w:rsidTr="00030318">
        <w:trPr>
          <w:trHeight w:val="459"/>
        </w:trPr>
        <w:tc>
          <w:tcPr>
            <w:tcW w:w="4400" w:type="dxa"/>
            <w:tcBorders>
              <w:top w:val="nil"/>
            </w:tcBorders>
          </w:tcPr>
          <w:p w:rsidR="00030318" w:rsidRDefault="00030318" w:rsidP="00030318">
            <w:pPr>
              <w:pStyle w:val="TableParagraph"/>
              <w:spacing w:line="227" w:lineRule="exact"/>
              <w:rPr>
                <w:sz w:val="20"/>
              </w:rPr>
            </w:pPr>
            <w:r>
              <w:rPr>
                <w:sz w:val="20"/>
              </w:rPr>
              <w:t>Year ended 30 June 2008*</w:t>
            </w:r>
          </w:p>
        </w:tc>
        <w:tc>
          <w:tcPr>
            <w:tcW w:w="2441" w:type="dxa"/>
            <w:gridSpan w:val="2"/>
            <w:tcBorders>
              <w:top w:val="nil"/>
            </w:tcBorders>
          </w:tcPr>
          <w:p w:rsidR="00030318" w:rsidRDefault="00030318" w:rsidP="00030318">
            <w:pPr>
              <w:pStyle w:val="TableParagraph"/>
              <w:spacing w:line="227" w:lineRule="exact"/>
              <w:rPr>
                <w:sz w:val="20"/>
              </w:rPr>
            </w:pPr>
            <w:r>
              <w:rPr>
                <w:sz w:val="20"/>
              </w:rPr>
              <w:t>0.81%</w:t>
            </w:r>
          </w:p>
        </w:tc>
        <w:tc>
          <w:tcPr>
            <w:tcW w:w="2355" w:type="dxa"/>
            <w:tcBorders>
              <w:top w:val="nil"/>
            </w:tcBorders>
          </w:tcPr>
          <w:p w:rsidR="00030318" w:rsidRDefault="00030318" w:rsidP="00030318">
            <w:pPr>
              <w:pStyle w:val="TableParagraph"/>
              <w:spacing w:line="227" w:lineRule="exact"/>
              <w:ind w:left="108"/>
              <w:rPr>
                <w:sz w:val="20"/>
              </w:rPr>
            </w:pPr>
            <w:r>
              <w:rPr>
                <w:sz w:val="20"/>
              </w:rPr>
              <w:t>Rs. 5.14 per unit</w:t>
            </w:r>
          </w:p>
        </w:tc>
      </w:tr>
    </w:tbl>
    <w:p w:rsidR="00030318" w:rsidRDefault="00030318" w:rsidP="00030318">
      <w:pPr>
        <w:pStyle w:val="BodyText"/>
        <w:spacing w:before="3"/>
        <w:rPr>
          <w:sz w:val="8"/>
        </w:rPr>
      </w:pPr>
    </w:p>
    <w:p w:rsidR="00030318" w:rsidRDefault="00030318" w:rsidP="00030318">
      <w:pPr>
        <w:pStyle w:val="Heading5"/>
        <w:spacing w:before="131"/>
        <w:ind w:left="621" w:right="907"/>
        <w:jc w:val="both"/>
      </w:pPr>
      <w:r>
        <w:t>Note: Effective from July 18</w:t>
      </w:r>
      <w:r>
        <w:rPr>
          <w:vertAlign w:val="superscript"/>
        </w:rPr>
        <w:t>th</w:t>
      </w:r>
      <w:r>
        <w:t>, 2012, the fund has been re-categorized from a Shariah Compliant Balanced Fund to a Shariah Compliant Equity Fund and has been renamed as Al- Ameen Shariah Stock</w:t>
      </w:r>
      <w:r>
        <w:rPr>
          <w:spacing w:val="-1"/>
        </w:rPr>
        <w:t xml:space="preserve"> </w:t>
      </w:r>
      <w:r>
        <w:t>Fund</w:t>
      </w:r>
    </w:p>
    <w:p w:rsidR="00030318" w:rsidRDefault="00030318" w:rsidP="00030318">
      <w:pPr>
        <w:pStyle w:val="BodyText"/>
        <w:rPr>
          <w:b/>
          <w:sz w:val="22"/>
        </w:rPr>
      </w:pPr>
    </w:p>
    <w:p w:rsidR="00030318" w:rsidRDefault="00030318" w:rsidP="00030318">
      <w:pPr>
        <w:spacing w:before="184"/>
        <w:ind w:left="621"/>
        <w:rPr>
          <w:b/>
          <w:sz w:val="20"/>
        </w:rPr>
      </w:pPr>
      <w:r>
        <w:rPr>
          <w:b/>
          <w:sz w:val="20"/>
        </w:rPr>
        <w:t>Al Ameen Islamic Aggressive Income Fund (Formerly Al-Ameen Islamic Income Fund (AIAIF))</w:t>
      </w:r>
    </w:p>
    <w:p w:rsidR="00030318" w:rsidRDefault="00030318" w:rsidP="00030318">
      <w:pPr>
        <w:pStyle w:val="BodyText"/>
        <w:rPr>
          <w:b/>
        </w:rPr>
      </w:pPr>
    </w:p>
    <w:p w:rsidR="00030318" w:rsidRDefault="00030318" w:rsidP="00030318">
      <w:pPr>
        <w:pStyle w:val="BodyText"/>
        <w:ind w:left="621" w:right="910"/>
        <w:jc w:val="both"/>
      </w:pPr>
      <w:r>
        <w:t>An open end Islamic aggressive income fund, AIAIF endeavors to provide attractive returns to its investors by investing in Shariah compliant income instruments while taking into account capital security and liquidity considerations. AIAIF invests in medium to long</w:t>
      </w:r>
      <w:r>
        <w:rPr>
          <w:rFonts w:ascii="Cambria Math" w:hAnsi="Cambria Math"/>
        </w:rPr>
        <w:t>‐</w:t>
      </w:r>
      <w:r>
        <w:t>term income instruments as well as short</w:t>
      </w:r>
      <w:r>
        <w:rPr>
          <w:rFonts w:ascii="Cambria Math" w:hAnsi="Cambria Math"/>
        </w:rPr>
        <w:t>‐</w:t>
      </w:r>
      <w:r>
        <w:t>tenor money market instruments to generate superior, long</w:t>
      </w:r>
      <w:r>
        <w:rPr>
          <w:rFonts w:ascii="Cambria Math" w:hAnsi="Cambria Math"/>
        </w:rPr>
        <w:t>‐</w:t>
      </w:r>
      <w:r>
        <w:t>term, risk</w:t>
      </w:r>
      <w:r>
        <w:rPr>
          <w:rFonts w:ascii="Cambria Math" w:hAnsi="Cambria Math"/>
        </w:rPr>
        <w:t>‐</w:t>
      </w:r>
      <w:r>
        <w:t>adjusted returns while preserving capital over the long</w:t>
      </w:r>
      <w:r>
        <w:rPr>
          <w:rFonts w:ascii="Cambria Math" w:hAnsi="Cambria Math"/>
        </w:rPr>
        <w:t>‐</w:t>
      </w:r>
      <w:r>
        <w:t>term. The fund operates under the expert guidance of a renowned Shariah Advisory Board which includes Mr. Hassan Kaleem and Mr. Najeeb Khan.</w:t>
      </w:r>
    </w:p>
    <w:p w:rsidR="00030318" w:rsidRDefault="00030318" w:rsidP="00030318">
      <w:pPr>
        <w:pStyle w:val="BodyText"/>
        <w:spacing w:before="5"/>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9"/>
        <w:gridCol w:w="2521"/>
        <w:gridCol w:w="2340"/>
        <w:gridCol w:w="492"/>
      </w:tblGrid>
      <w:tr w:rsidR="00030318" w:rsidTr="00030318">
        <w:trPr>
          <w:gridAfter w:val="1"/>
          <w:wAfter w:w="492" w:type="dxa"/>
          <w:trHeight w:val="229"/>
        </w:trPr>
        <w:tc>
          <w:tcPr>
            <w:tcW w:w="4429" w:type="dxa"/>
          </w:tcPr>
          <w:p w:rsidR="00030318" w:rsidRDefault="00030318" w:rsidP="00030318">
            <w:pPr>
              <w:pStyle w:val="TableParagraph"/>
              <w:spacing w:line="210" w:lineRule="exact"/>
              <w:rPr>
                <w:sz w:val="20"/>
              </w:rPr>
            </w:pPr>
            <w:r>
              <w:rPr>
                <w:sz w:val="20"/>
              </w:rPr>
              <w:t>Date of launching</w:t>
            </w:r>
          </w:p>
        </w:tc>
        <w:tc>
          <w:tcPr>
            <w:tcW w:w="2521" w:type="dxa"/>
          </w:tcPr>
          <w:p w:rsidR="00030318" w:rsidRDefault="00030318" w:rsidP="00030318">
            <w:pPr>
              <w:pStyle w:val="TableParagraph"/>
              <w:spacing w:line="210" w:lineRule="exact"/>
              <w:rPr>
                <w:sz w:val="20"/>
              </w:rPr>
            </w:pPr>
            <w:r>
              <w:rPr>
                <w:sz w:val="20"/>
              </w:rPr>
              <w:t>20 October 2007</w:t>
            </w:r>
          </w:p>
        </w:tc>
        <w:tc>
          <w:tcPr>
            <w:tcW w:w="2340" w:type="dxa"/>
          </w:tcPr>
          <w:p w:rsidR="00030318" w:rsidRDefault="00030318" w:rsidP="00030318">
            <w:pPr>
              <w:pStyle w:val="TableParagraph"/>
              <w:ind w:left="0"/>
              <w:rPr>
                <w:rFonts w:ascii="Times New Roman"/>
                <w:sz w:val="16"/>
              </w:rPr>
            </w:pPr>
          </w:p>
        </w:tc>
      </w:tr>
      <w:tr w:rsidR="00030318" w:rsidTr="00030318">
        <w:trPr>
          <w:gridAfter w:val="1"/>
          <w:wAfter w:w="492" w:type="dxa"/>
          <w:trHeight w:val="229"/>
        </w:trPr>
        <w:tc>
          <w:tcPr>
            <w:tcW w:w="4429" w:type="dxa"/>
          </w:tcPr>
          <w:p w:rsidR="00030318" w:rsidRDefault="00030318" w:rsidP="00030318">
            <w:pPr>
              <w:pStyle w:val="TableParagraph"/>
              <w:spacing w:line="210" w:lineRule="exact"/>
              <w:rPr>
                <w:sz w:val="20"/>
              </w:rPr>
            </w:pPr>
            <w:r>
              <w:rPr>
                <w:sz w:val="20"/>
              </w:rPr>
              <w:t>Par Value of units</w:t>
            </w:r>
          </w:p>
        </w:tc>
        <w:tc>
          <w:tcPr>
            <w:tcW w:w="2521" w:type="dxa"/>
          </w:tcPr>
          <w:p w:rsidR="00030318" w:rsidRDefault="00030318" w:rsidP="00030318">
            <w:pPr>
              <w:pStyle w:val="TableParagraph"/>
              <w:spacing w:line="210" w:lineRule="exact"/>
              <w:rPr>
                <w:sz w:val="20"/>
              </w:rPr>
            </w:pPr>
            <w:r>
              <w:rPr>
                <w:sz w:val="20"/>
              </w:rPr>
              <w:t>Rs. 100</w:t>
            </w:r>
          </w:p>
        </w:tc>
        <w:tc>
          <w:tcPr>
            <w:tcW w:w="2340" w:type="dxa"/>
          </w:tcPr>
          <w:p w:rsidR="00030318" w:rsidRDefault="00030318" w:rsidP="00030318">
            <w:pPr>
              <w:pStyle w:val="TableParagraph"/>
              <w:ind w:left="0"/>
              <w:rPr>
                <w:rFonts w:ascii="Times New Roman"/>
                <w:sz w:val="16"/>
              </w:rPr>
            </w:pPr>
          </w:p>
        </w:tc>
      </w:tr>
      <w:tr w:rsidR="00030318" w:rsidTr="00030318">
        <w:trPr>
          <w:gridAfter w:val="1"/>
          <w:wAfter w:w="492" w:type="dxa"/>
          <w:trHeight w:val="220"/>
        </w:trPr>
        <w:tc>
          <w:tcPr>
            <w:tcW w:w="4429" w:type="dxa"/>
            <w:tcBorders>
              <w:bottom w:val="nil"/>
            </w:tcBorders>
          </w:tcPr>
          <w:p w:rsidR="00030318" w:rsidRDefault="00030318" w:rsidP="00030318">
            <w:pPr>
              <w:pStyle w:val="TableParagraph"/>
              <w:spacing w:line="201" w:lineRule="exact"/>
              <w:rPr>
                <w:sz w:val="20"/>
              </w:rPr>
            </w:pPr>
            <w:r>
              <w:rPr>
                <w:sz w:val="20"/>
              </w:rPr>
              <w:t>Net Assets (as at June 30 2018)</w:t>
            </w:r>
          </w:p>
        </w:tc>
        <w:tc>
          <w:tcPr>
            <w:tcW w:w="2521" w:type="dxa"/>
            <w:tcBorders>
              <w:bottom w:val="nil"/>
            </w:tcBorders>
          </w:tcPr>
          <w:p w:rsidR="00030318" w:rsidRDefault="00030318" w:rsidP="00030318">
            <w:pPr>
              <w:pStyle w:val="TableParagraph"/>
              <w:spacing w:line="201" w:lineRule="exact"/>
              <w:rPr>
                <w:sz w:val="20"/>
              </w:rPr>
            </w:pPr>
            <w:r>
              <w:rPr>
                <w:sz w:val="20"/>
              </w:rPr>
              <w:t>Rs. 795Mn</w:t>
            </w:r>
          </w:p>
        </w:tc>
        <w:tc>
          <w:tcPr>
            <w:tcW w:w="2340" w:type="dxa"/>
          </w:tcPr>
          <w:p w:rsidR="00030318" w:rsidRDefault="00030318" w:rsidP="00030318">
            <w:pPr>
              <w:pStyle w:val="TableParagraph"/>
              <w:ind w:left="0"/>
              <w:rPr>
                <w:rFonts w:ascii="Times New Roman"/>
                <w:sz w:val="18"/>
              </w:rPr>
            </w:pPr>
          </w:p>
        </w:tc>
      </w:tr>
      <w:tr w:rsidR="00030318" w:rsidTr="00030318">
        <w:trPr>
          <w:gridAfter w:val="1"/>
          <w:wAfter w:w="492" w:type="dxa"/>
          <w:trHeight w:val="220"/>
        </w:trPr>
        <w:tc>
          <w:tcPr>
            <w:tcW w:w="4429" w:type="dxa"/>
            <w:tcBorders>
              <w:bottom w:val="nil"/>
            </w:tcBorders>
          </w:tcPr>
          <w:p w:rsidR="00030318" w:rsidRDefault="00030318" w:rsidP="00030318">
            <w:pPr>
              <w:pStyle w:val="TableParagraph"/>
              <w:spacing w:line="201" w:lineRule="exact"/>
              <w:rPr>
                <w:sz w:val="20"/>
              </w:rPr>
            </w:pPr>
            <w:r w:rsidRPr="00E65CA8">
              <w:rPr>
                <w:sz w:val="20"/>
              </w:rPr>
              <w:t>Net Assets (as at Feb 19 2019)</w:t>
            </w:r>
          </w:p>
        </w:tc>
        <w:tc>
          <w:tcPr>
            <w:tcW w:w="2521" w:type="dxa"/>
            <w:tcBorders>
              <w:bottom w:val="nil"/>
            </w:tcBorders>
          </w:tcPr>
          <w:p w:rsidR="00030318" w:rsidRDefault="00030318" w:rsidP="00030318">
            <w:pPr>
              <w:pStyle w:val="TableParagraph"/>
              <w:spacing w:line="201" w:lineRule="exact"/>
              <w:rPr>
                <w:sz w:val="20"/>
              </w:rPr>
            </w:pPr>
            <w:r>
              <w:rPr>
                <w:sz w:val="20"/>
              </w:rPr>
              <w:t>Rs. 442 Million</w:t>
            </w:r>
          </w:p>
        </w:tc>
        <w:tc>
          <w:tcPr>
            <w:tcW w:w="2340" w:type="dxa"/>
          </w:tcPr>
          <w:p w:rsidR="00030318" w:rsidRDefault="00030318" w:rsidP="00030318">
            <w:pPr>
              <w:pStyle w:val="TableParagraph"/>
              <w:ind w:left="0"/>
              <w:rPr>
                <w:rFonts w:ascii="Times New Roman"/>
                <w:sz w:val="18"/>
              </w:rPr>
            </w:pPr>
          </w:p>
        </w:tc>
      </w:tr>
      <w:tr w:rsidR="00030318" w:rsidTr="00030318">
        <w:trPr>
          <w:gridAfter w:val="1"/>
          <w:wAfter w:w="492" w:type="dxa"/>
          <w:trHeight w:val="220"/>
        </w:trPr>
        <w:tc>
          <w:tcPr>
            <w:tcW w:w="4429" w:type="dxa"/>
            <w:tcBorders>
              <w:bottom w:val="nil"/>
            </w:tcBorders>
          </w:tcPr>
          <w:p w:rsidR="00030318" w:rsidRDefault="00030318" w:rsidP="00030318">
            <w:pPr>
              <w:pStyle w:val="TableParagraph"/>
              <w:spacing w:line="201" w:lineRule="exact"/>
              <w:rPr>
                <w:sz w:val="20"/>
              </w:rPr>
            </w:pPr>
            <w:r>
              <w:rPr>
                <w:sz w:val="20"/>
              </w:rPr>
              <w:t>Net Assets (as at June 30 2017)</w:t>
            </w:r>
          </w:p>
          <w:p w:rsidR="00030318" w:rsidRDefault="00030318" w:rsidP="00030318">
            <w:pPr>
              <w:pStyle w:val="TableParagraph"/>
              <w:spacing w:line="201" w:lineRule="exact"/>
              <w:rPr>
                <w:sz w:val="20"/>
              </w:rPr>
            </w:pPr>
            <w:r>
              <w:rPr>
                <w:sz w:val="20"/>
              </w:rPr>
              <w:t>Net Assets (as</w:t>
            </w:r>
          </w:p>
        </w:tc>
        <w:tc>
          <w:tcPr>
            <w:tcW w:w="2521" w:type="dxa"/>
            <w:tcBorders>
              <w:bottom w:val="nil"/>
            </w:tcBorders>
          </w:tcPr>
          <w:p w:rsidR="00030318" w:rsidRDefault="00030318" w:rsidP="00030318">
            <w:pPr>
              <w:pStyle w:val="TableParagraph"/>
              <w:spacing w:line="201" w:lineRule="exact"/>
              <w:rPr>
                <w:sz w:val="20"/>
              </w:rPr>
            </w:pPr>
            <w:r>
              <w:rPr>
                <w:sz w:val="20"/>
              </w:rPr>
              <w:t>Rs. 1,105 Million</w:t>
            </w:r>
          </w:p>
        </w:tc>
        <w:tc>
          <w:tcPr>
            <w:tcW w:w="2340" w:type="dxa"/>
            <w:vMerge w:val="restart"/>
          </w:tcPr>
          <w:p w:rsidR="00030318" w:rsidRDefault="00030318" w:rsidP="00030318">
            <w:pPr>
              <w:pStyle w:val="TableParagraph"/>
              <w:ind w:left="0"/>
              <w:rPr>
                <w:rFonts w:ascii="Times New Roman"/>
                <w:sz w:val="18"/>
              </w:rPr>
            </w:pPr>
          </w:p>
        </w:tc>
      </w:tr>
      <w:tr w:rsidR="00030318" w:rsidTr="00030318">
        <w:trPr>
          <w:gridAfter w:val="1"/>
          <w:wAfter w:w="492" w:type="dxa"/>
          <w:trHeight w:val="210"/>
        </w:trPr>
        <w:tc>
          <w:tcPr>
            <w:tcW w:w="4429" w:type="dxa"/>
            <w:tcBorders>
              <w:top w:val="nil"/>
              <w:bottom w:val="nil"/>
            </w:tcBorders>
          </w:tcPr>
          <w:p w:rsidR="00030318" w:rsidRDefault="00030318" w:rsidP="00030318">
            <w:pPr>
              <w:pStyle w:val="TableParagraph"/>
              <w:spacing w:line="190" w:lineRule="exact"/>
              <w:rPr>
                <w:sz w:val="20"/>
              </w:rPr>
            </w:pPr>
            <w:r>
              <w:rPr>
                <w:sz w:val="20"/>
              </w:rPr>
              <w:t>at June 30 2016)</w:t>
            </w:r>
          </w:p>
        </w:tc>
        <w:tc>
          <w:tcPr>
            <w:tcW w:w="2521" w:type="dxa"/>
            <w:tcBorders>
              <w:top w:val="nil"/>
              <w:bottom w:val="nil"/>
            </w:tcBorders>
          </w:tcPr>
          <w:p w:rsidR="00030318" w:rsidRDefault="00030318" w:rsidP="00030318">
            <w:pPr>
              <w:pStyle w:val="TableParagraph"/>
              <w:spacing w:line="190" w:lineRule="exact"/>
              <w:rPr>
                <w:sz w:val="20"/>
              </w:rPr>
            </w:pPr>
            <w:r>
              <w:rPr>
                <w:sz w:val="20"/>
              </w:rPr>
              <w:t>Rs. 1,023 Million</w:t>
            </w:r>
          </w:p>
        </w:tc>
        <w:tc>
          <w:tcPr>
            <w:tcW w:w="2340" w:type="dxa"/>
            <w:vMerge/>
            <w:tcBorders>
              <w:top w:val="nil"/>
            </w:tcBorders>
          </w:tcPr>
          <w:p w:rsidR="00030318" w:rsidRDefault="00030318" w:rsidP="00030318">
            <w:pPr>
              <w:rPr>
                <w:sz w:val="2"/>
                <w:szCs w:val="2"/>
              </w:rPr>
            </w:pPr>
          </w:p>
        </w:tc>
      </w:tr>
      <w:tr w:rsidR="00030318" w:rsidTr="00030318">
        <w:trPr>
          <w:gridAfter w:val="1"/>
          <w:wAfter w:w="492" w:type="dxa"/>
          <w:trHeight w:val="210"/>
        </w:trPr>
        <w:tc>
          <w:tcPr>
            <w:tcW w:w="4429" w:type="dxa"/>
            <w:tcBorders>
              <w:top w:val="nil"/>
              <w:bottom w:val="nil"/>
            </w:tcBorders>
          </w:tcPr>
          <w:p w:rsidR="00030318" w:rsidRDefault="00030318" w:rsidP="00030318">
            <w:pPr>
              <w:pStyle w:val="TableParagraph"/>
              <w:spacing w:line="190" w:lineRule="exact"/>
              <w:rPr>
                <w:sz w:val="20"/>
              </w:rPr>
            </w:pPr>
            <w:r>
              <w:rPr>
                <w:sz w:val="20"/>
              </w:rPr>
              <w:t>Net Assets (as at June 30 2015)</w:t>
            </w:r>
          </w:p>
        </w:tc>
        <w:tc>
          <w:tcPr>
            <w:tcW w:w="2521" w:type="dxa"/>
            <w:tcBorders>
              <w:top w:val="nil"/>
              <w:bottom w:val="nil"/>
            </w:tcBorders>
          </w:tcPr>
          <w:p w:rsidR="00030318" w:rsidRDefault="00030318" w:rsidP="00030318">
            <w:pPr>
              <w:pStyle w:val="TableParagraph"/>
              <w:spacing w:line="190" w:lineRule="exact"/>
              <w:rPr>
                <w:sz w:val="20"/>
              </w:rPr>
            </w:pPr>
            <w:r>
              <w:rPr>
                <w:sz w:val="20"/>
              </w:rPr>
              <w:t>Rs. 829 Million</w:t>
            </w:r>
          </w:p>
        </w:tc>
        <w:tc>
          <w:tcPr>
            <w:tcW w:w="2340" w:type="dxa"/>
            <w:vMerge/>
            <w:tcBorders>
              <w:top w:val="nil"/>
            </w:tcBorders>
          </w:tcPr>
          <w:p w:rsidR="00030318" w:rsidRDefault="00030318" w:rsidP="00030318">
            <w:pPr>
              <w:rPr>
                <w:sz w:val="2"/>
                <w:szCs w:val="2"/>
              </w:rPr>
            </w:pPr>
          </w:p>
        </w:tc>
      </w:tr>
      <w:tr w:rsidR="00030318" w:rsidTr="00030318">
        <w:trPr>
          <w:gridAfter w:val="1"/>
          <w:wAfter w:w="492" w:type="dxa"/>
          <w:trHeight w:val="219"/>
        </w:trPr>
        <w:tc>
          <w:tcPr>
            <w:tcW w:w="4429" w:type="dxa"/>
            <w:tcBorders>
              <w:top w:val="nil"/>
            </w:tcBorders>
          </w:tcPr>
          <w:p w:rsidR="00030318" w:rsidRDefault="00030318" w:rsidP="00030318">
            <w:pPr>
              <w:pStyle w:val="TableParagraph"/>
              <w:spacing w:line="199" w:lineRule="exact"/>
              <w:rPr>
                <w:sz w:val="20"/>
              </w:rPr>
            </w:pPr>
            <w:r>
              <w:rPr>
                <w:sz w:val="20"/>
              </w:rPr>
              <w:t>Net Assets (as at June 30 2014)</w:t>
            </w:r>
          </w:p>
        </w:tc>
        <w:tc>
          <w:tcPr>
            <w:tcW w:w="2521" w:type="dxa"/>
            <w:tcBorders>
              <w:top w:val="nil"/>
            </w:tcBorders>
          </w:tcPr>
          <w:p w:rsidR="00030318" w:rsidRDefault="00030318" w:rsidP="00030318">
            <w:pPr>
              <w:pStyle w:val="TableParagraph"/>
              <w:spacing w:line="199" w:lineRule="exact"/>
              <w:rPr>
                <w:sz w:val="20"/>
              </w:rPr>
            </w:pPr>
            <w:r>
              <w:rPr>
                <w:sz w:val="20"/>
              </w:rPr>
              <w:t>Rs. 1,274 Million</w:t>
            </w:r>
          </w:p>
        </w:tc>
        <w:tc>
          <w:tcPr>
            <w:tcW w:w="2340" w:type="dxa"/>
            <w:vMerge/>
            <w:tcBorders>
              <w:top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5"/>
        </w:trPr>
        <w:tc>
          <w:tcPr>
            <w:tcW w:w="4429" w:type="dxa"/>
            <w:tcBorders>
              <w:left w:val="single" w:sz="8" w:space="0" w:color="000000"/>
              <w:bottom w:val="nil"/>
              <w:right w:val="single" w:sz="8" w:space="0" w:color="000000"/>
            </w:tcBorders>
          </w:tcPr>
          <w:p w:rsidR="00030318" w:rsidRDefault="00030318" w:rsidP="00030318">
            <w:pPr>
              <w:pStyle w:val="TableParagraph"/>
              <w:spacing w:before="1" w:line="204" w:lineRule="exact"/>
              <w:rPr>
                <w:sz w:val="20"/>
              </w:rPr>
            </w:pPr>
            <w:r>
              <w:rPr>
                <w:sz w:val="20"/>
              </w:rPr>
              <w:t>Net Assets (as at 30 June 2013)</w:t>
            </w:r>
          </w:p>
        </w:tc>
        <w:tc>
          <w:tcPr>
            <w:tcW w:w="2521" w:type="dxa"/>
            <w:tcBorders>
              <w:left w:val="single" w:sz="8" w:space="0" w:color="000000"/>
              <w:bottom w:val="nil"/>
              <w:right w:val="single" w:sz="8" w:space="0" w:color="000000"/>
            </w:tcBorders>
          </w:tcPr>
          <w:p w:rsidR="00030318" w:rsidRDefault="00030318" w:rsidP="00030318">
            <w:pPr>
              <w:pStyle w:val="TableParagraph"/>
              <w:spacing w:before="1" w:line="204" w:lineRule="exact"/>
              <w:rPr>
                <w:sz w:val="20"/>
              </w:rPr>
            </w:pPr>
            <w:r>
              <w:rPr>
                <w:sz w:val="20"/>
              </w:rPr>
              <w:t>Rs. 595 Million</w:t>
            </w:r>
          </w:p>
        </w:tc>
        <w:tc>
          <w:tcPr>
            <w:tcW w:w="2340" w:type="dxa"/>
            <w:vMerge w:val="restart"/>
            <w:tcBorders>
              <w:left w:val="single" w:sz="8" w:space="0" w:color="000000"/>
              <w:bottom w:val="single" w:sz="8" w:space="0" w:color="000000"/>
              <w:right w:val="single" w:sz="8" w:space="0" w:color="000000"/>
            </w:tcBorders>
          </w:tcPr>
          <w:p w:rsidR="00030318" w:rsidRDefault="00030318" w:rsidP="00030318">
            <w:pPr>
              <w:pStyle w:val="TableParagraph"/>
              <w:ind w:left="0"/>
              <w:rPr>
                <w:rFonts w:ascii="Times New Roman"/>
                <w:sz w:val="18"/>
              </w:rPr>
            </w:pPr>
          </w:p>
        </w:tc>
        <w:tc>
          <w:tcPr>
            <w:tcW w:w="492" w:type="dxa"/>
            <w:vMerge w:val="restart"/>
            <w:tcBorders>
              <w:top w:val="single" w:sz="4" w:space="0" w:color="000000"/>
              <w:left w:val="single" w:sz="8" w:space="0" w:color="000000"/>
              <w:bottom w:val="nil"/>
              <w:right w:val="nil"/>
            </w:tcBorders>
          </w:tcPr>
          <w:p w:rsidR="00030318" w:rsidRDefault="00030318" w:rsidP="00030318">
            <w:pPr>
              <w:pStyle w:val="TableParagraph"/>
              <w:ind w:left="0"/>
              <w:rPr>
                <w:rFonts w:ascii="Times New Roman"/>
                <w:sz w:val="18"/>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1" w:lineRule="exact"/>
              <w:rPr>
                <w:sz w:val="20"/>
              </w:rPr>
            </w:pPr>
            <w:r>
              <w:rPr>
                <w:sz w:val="20"/>
              </w:rPr>
              <w:t>Net Assets (as at 30 June 2012)</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1" w:lineRule="exact"/>
              <w:rPr>
                <w:sz w:val="20"/>
              </w:rPr>
            </w:pPr>
            <w:r>
              <w:rPr>
                <w:sz w:val="20"/>
              </w:rPr>
              <w:t>Rs. 313 Million</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Net Assets (as at 30 June 2011)</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Rs. 341 Million</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Net Assets (as at 30 June 2010)</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Rs. 890 Million</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Net Assets (as at 30 June 2009)</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Rs. 1814 Million</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8"/>
        </w:trPr>
        <w:tc>
          <w:tcPr>
            <w:tcW w:w="4429"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198" w:lineRule="exact"/>
              <w:rPr>
                <w:sz w:val="20"/>
              </w:rPr>
            </w:pPr>
            <w:r>
              <w:rPr>
                <w:sz w:val="20"/>
              </w:rPr>
              <w:t>Net Assets (as at 30 June 2008)</w:t>
            </w:r>
          </w:p>
        </w:tc>
        <w:tc>
          <w:tcPr>
            <w:tcW w:w="2521"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198" w:lineRule="exact"/>
              <w:rPr>
                <w:sz w:val="20"/>
              </w:rPr>
            </w:pPr>
            <w:r>
              <w:rPr>
                <w:sz w:val="20"/>
              </w:rPr>
              <w:t>Rs. 1445 Million</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1"/>
        </w:trPr>
        <w:tc>
          <w:tcPr>
            <w:tcW w:w="4429"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02" w:lineRule="exact"/>
              <w:rPr>
                <w:sz w:val="20"/>
              </w:rPr>
            </w:pPr>
            <w:r w:rsidRPr="00E65CA8">
              <w:rPr>
                <w:sz w:val="20"/>
              </w:rPr>
              <w:t>NAV (as at Feb 19, 2019)</w:t>
            </w:r>
          </w:p>
        </w:tc>
        <w:tc>
          <w:tcPr>
            <w:tcW w:w="2521"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02" w:lineRule="exact"/>
              <w:rPr>
                <w:sz w:val="20"/>
              </w:rPr>
            </w:pPr>
            <w:r>
              <w:rPr>
                <w:sz w:val="20"/>
              </w:rPr>
              <w:t xml:space="preserve">Rs. </w:t>
            </w:r>
            <w:r w:rsidRPr="00E65CA8">
              <w:rPr>
                <w:sz w:val="20"/>
              </w:rPr>
              <w:t>103.3328</w:t>
            </w:r>
          </w:p>
        </w:tc>
        <w:tc>
          <w:tcPr>
            <w:tcW w:w="2340"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ind w:left="0"/>
              <w:rPr>
                <w:rFonts w:ascii="Times New Roman"/>
                <w:sz w:val="18"/>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1"/>
        </w:trPr>
        <w:tc>
          <w:tcPr>
            <w:tcW w:w="4429"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02" w:lineRule="exact"/>
              <w:rPr>
                <w:sz w:val="20"/>
              </w:rPr>
            </w:pPr>
            <w:r>
              <w:rPr>
                <w:sz w:val="20"/>
              </w:rPr>
              <w:t>NAV (as at June 30 2017)</w:t>
            </w:r>
          </w:p>
        </w:tc>
        <w:tc>
          <w:tcPr>
            <w:tcW w:w="2521"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02" w:lineRule="exact"/>
              <w:rPr>
                <w:sz w:val="20"/>
              </w:rPr>
            </w:pPr>
            <w:r>
              <w:rPr>
                <w:sz w:val="20"/>
              </w:rPr>
              <w:t>Rs. 99.9376</w:t>
            </w:r>
          </w:p>
        </w:tc>
        <w:tc>
          <w:tcPr>
            <w:tcW w:w="2340" w:type="dxa"/>
            <w:vMerge w:val="restart"/>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ind w:left="0"/>
              <w:rPr>
                <w:rFonts w:ascii="Times New Roman"/>
                <w:sz w:val="18"/>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lastRenderedPageBreak/>
              <w:t>NAV (as at June 30 2016)</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Rs. 99.67</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NAV (as at June 30 2015)</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Rs. 97.99</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NAV (as at June 30 2014)</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Rs.95.5500</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NAV (as at 30 June 2013)</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Rs. 100.0900</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NAV (as at 30 June 2012)</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0" w:lineRule="exact"/>
              <w:rPr>
                <w:sz w:val="20"/>
              </w:rPr>
            </w:pPr>
            <w:r>
              <w:rPr>
                <w:sz w:val="20"/>
              </w:rPr>
              <w:t>Rs. 89.4300</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NAV (as at 30 June 2011)</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Rs. 94.8400</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NAV (as at 30 June 2010)</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89" w:lineRule="exact"/>
              <w:rPr>
                <w:sz w:val="20"/>
              </w:rPr>
            </w:pPr>
            <w:r>
              <w:rPr>
                <w:sz w:val="20"/>
              </w:rPr>
              <w:t>Rs. 102.0194</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191" w:lineRule="exact"/>
              <w:rPr>
                <w:sz w:val="20"/>
              </w:rPr>
            </w:pPr>
            <w:r>
              <w:rPr>
                <w:sz w:val="20"/>
              </w:rPr>
              <w:t>NAV (as at 30 June 2009)</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191" w:lineRule="exact"/>
              <w:rPr>
                <w:sz w:val="20"/>
              </w:rPr>
            </w:pPr>
            <w:r>
              <w:rPr>
                <w:sz w:val="20"/>
              </w:rPr>
              <w:t>Rs. 102.8735</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9"/>
        </w:trPr>
        <w:tc>
          <w:tcPr>
            <w:tcW w:w="4429"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200" w:lineRule="exact"/>
              <w:rPr>
                <w:sz w:val="20"/>
              </w:rPr>
            </w:pPr>
            <w:r>
              <w:rPr>
                <w:sz w:val="20"/>
              </w:rPr>
              <w:t>NAV (as at 30 June 2008)</w:t>
            </w:r>
          </w:p>
        </w:tc>
        <w:tc>
          <w:tcPr>
            <w:tcW w:w="2521"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200" w:lineRule="exact"/>
              <w:rPr>
                <w:sz w:val="20"/>
              </w:rPr>
            </w:pPr>
            <w:r>
              <w:rPr>
                <w:sz w:val="20"/>
              </w:rPr>
              <w:t>Rs. 100.5184</w:t>
            </w:r>
          </w:p>
        </w:tc>
        <w:tc>
          <w:tcPr>
            <w:tcW w:w="2340" w:type="dxa"/>
            <w:vMerge/>
            <w:tcBorders>
              <w:top w:val="nil"/>
              <w:left w:val="single" w:sz="8" w:space="0" w:color="000000"/>
              <w:bottom w:val="single" w:sz="8" w:space="0" w:color="000000"/>
              <w:right w:val="single" w:sz="8" w:space="0" w:color="000000"/>
            </w:tcBorders>
          </w:tcPr>
          <w:p w:rsidR="00030318" w:rsidRDefault="00030318" w:rsidP="00030318">
            <w:pPr>
              <w:rPr>
                <w:sz w:val="2"/>
                <w:szCs w:val="2"/>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60"/>
        </w:trPr>
        <w:tc>
          <w:tcPr>
            <w:tcW w:w="4429"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before="112"/>
              <w:rPr>
                <w:sz w:val="20"/>
              </w:rPr>
            </w:pPr>
            <w:r>
              <w:rPr>
                <w:sz w:val="20"/>
              </w:rPr>
              <w:t>Listing</w:t>
            </w:r>
          </w:p>
        </w:tc>
        <w:tc>
          <w:tcPr>
            <w:tcW w:w="2521"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line="227" w:lineRule="exact"/>
              <w:rPr>
                <w:sz w:val="20"/>
              </w:rPr>
            </w:pPr>
            <w:r>
              <w:rPr>
                <w:sz w:val="20"/>
              </w:rPr>
              <w:t>Pakistan Stock Exchange</w:t>
            </w:r>
          </w:p>
        </w:tc>
        <w:tc>
          <w:tcPr>
            <w:tcW w:w="2340"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ind w:left="0"/>
              <w:rPr>
                <w:rFonts w:ascii="Times New Roman"/>
                <w:sz w:val="18"/>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60"/>
        </w:trPr>
        <w:tc>
          <w:tcPr>
            <w:tcW w:w="4429"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before="112"/>
              <w:rPr>
                <w:sz w:val="20"/>
              </w:rPr>
            </w:pPr>
            <w:r>
              <w:rPr>
                <w:sz w:val="20"/>
              </w:rPr>
              <w:t>Fund Rating:</w:t>
            </w:r>
          </w:p>
        </w:tc>
        <w:tc>
          <w:tcPr>
            <w:tcW w:w="2521"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line="227" w:lineRule="exact"/>
              <w:rPr>
                <w:sz w:val="20"/>
              </w:rPr>
            </w:pPr>
            <w:r>
              <w:rPr>
                <w:sz w:val="20"/>
              </w:rPr>
              <w:t>BBB+ (JCR-VIS) “as of</w:t>
            </w:r>
          </w:p>
          <w:p w:rsidR="00030318" w:rsidRDefault="00030318" w:rsidP="00030318">
            <w:pPr>
              <w:pStyle w:val="TableParagraph"/>
              <w:spacing w:line="213" w:lineRule="exact"/>
              <w:rPr>
                <w:sz w:val="20"/>
              </w:rPr>
            </w:pPr>
            <w:r>
              <w:rPr>
                <w:sz w:val="20"/>
              </w:rPr>
              <w:t>31 March 2014”</w:t>
            </w:r>
          </w:p>
        </w:tc>
        <w:tc>
          <w:tcPr>
            <w:tcW w:w="2340"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ind w:left="0"/>
              <w:rPr>
                <w:rFonts w:ascii="Times New Roman"/>
                <w:sz w:val="18"/>
              </w:rPr>
            </w:pP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line="210" w:lineRule="exact"/>
              <w:rPr>
                <w:sz w:val="20"/>
              </w:rPr>
            </w:pPr>
            <w:r>
              <w:rPr>
                <w:sz w:val="20"/>
              </w:rPr>
              <w:t>Performance:</w:t>
            </w:r>
          </w:p>
        </w:tc>
        <w:tc>
          <w:tcPr>
            <w:tcW w:w="2521"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line="210" w:lineRule="exact"/>
              <w:rPr>
                <w:sz w:val="20"/>
              </w:rPr>
            </w:pPr>
            <w:r>
              <w:rPr>
                <w:sz w:val="20"/>
              </w:rPr>
              <w:t>Return</w:t>
            </w:r>
          </w:p>
        </w:tc>
        <w:tc>
          <w:tcPr>
            <w:tcW w:w="2340" w:type="dxa"/>
            <w:tcBorders>
              <w:top w:val="single" w:sz="8" w:space="0" w:color="000000"/>
              <w:left w:val="single" w:sz="8" w:space="0" w:color="000000"/>
              <w:bottom w:val="single" w:sz="8" w:space="0" w:color="000000"/>
              <w:right w:val="single" w:sz="8" w:space="0" w:color="000000"/>
            </w:tcBorders>
          </w:tcPr>
          <w:p w:rsidR="00030318" w:rsidRDefault="00030318" w:rsidP="00030318">
            <w:pPr>
              <w:pStyle w:val="TableParagraph"/>
              <w:spacing w:line="210" w:lineRule="exact"/>
              <w:rPr>
                <w:sz w:val="20"/>
              </w:rPr>
            </w:pPr>
            <w:r>
              <w:rPr>
                <w:sz w:val="20"/>
              </w:rPr>
              <w:t>Payout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Year ended 30 June 2017</w:t>
            </w:r>
          </w:p>
        </w:tc>
        <w:tc>
          <w:tcPr>
            <w:tcW w:w="2521"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4.81%</w:t>
            </w:r>
          </w:p>
        </w:tc>
        <w:tc>
          <w:tcPr>
            <w:tcW w:w="2340" w:type="dxa"/>
            <w:tcBorders>
              <w:top w:val="single" w:sz="8" w:space="0" w:color="000000"/>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Rs. 4.52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210" w:lineRule="exact"/>
              <w:rPr>
                <w:sz w:val="20"/>
              </w:rPr>
            </w:pPr>
            <w:r>
              <w:rPr>
                <w:sz w:val="20"/>
              </w:rPr>
              <w:t>Year ended 30 June 2016</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210" w:lineRule="exact"/>
              <w:rPr>
                <w:sz w:val="20"/>
              </w:rPr>
            </w:pPr>
            <w:r>
              <w:rPr>
                <w:sz w:val="20"/>
              </w:rPr>
              <w:t>7.08%</w:t>
            </w:r>
          </w:p>
        </w:tc>
        <w:tc>
          <w:tcPr>
            <w:tcW w:w="2340" w:type="dxa"/>
            <w:tcBorders>
              <w:top w:val="nil"/>
              <w:left w:val="single" w:sz="8" w:space="0" w:color="000000"/>
              <w:bottom w:val="nil"/>
              <w:right w:val="single" w:sz="8" w:space="0" w:color="000000"/>
            </w:tcBorders>
          </w:tcPr>
          <w:p w:rsidR="00030318" w:rsidRDefault="00030318" w:rsidP="00030318">
            <w:pPr>
              <w:pStyle w:val="TableParagraph"/>
              <w:spacing w:line="210" w:lineRule="exact"/>
              <w:rPr>
                <w:sz w:val="20"/>
              </w:rPr>
            </w:pPr>
            <w:r>
              <w:rPr>
                <w:sz w:val="20"/>
              </w:rPr>
              <w:t>Rs. 5.25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6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227" w:lineRule="exact"/>
              <w:rPr>
                <w:sz w:val="20"/>
              </w:rPr>
            </w:pPr>
            <w:r>
              <w:rPr>
                <w:sz w:val="20"/>
              </w:rPr>
              <w:t>Year ended June 30 2015</w:t>
            </w:r>
          </w:p>
          <w:p w:rsidR="00030318" w:rsidRDefault="00030318" w:rsidP="00030318">
            <w:pPr>
              <w:pStyle w:val="TableParagraph"/>
              <w:spacing w:line="214" w:lineRule="exact"/>
              <w:rPr>
                <w:sz w:val="20"/>
              </w:rPr>
            </w:pPr>
            <w:r>
              <w:rPr>
                <w:sz w:val="20"/>
              </w:rPr>
              <w:t>Year to date (30</w:t>
            </w:r>
            <w:r>
              <w:rPr>
                <w:sz w:val="20"/>
                <w:vertAlign w:val="superscript"/>
              </w:rPr>
              <w:t>th</w:t>
            </w:r>
            <w:r>
              <w:rPr>
                <w:sz w:val="20"/>
              </w:rPr>
              <w:t xml:space="preserve"> June’13 –June 30 2014)</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227" w:lineRule="exact"/>
              <w:rPr>
                <w:sz w:val="20"/>
              </w:rPr>
            </w:pPr>
            <w:r>
              <w:rPr>
                <w:sz w:val="20"/>
              </w:rPr>
              <w:t>8.26%</w:t>
            </w:r>
          </w:p>
          <w:p w:rsidR="00030318" w:rsidRDefault="00030318" w:rsidP="00030318">
            <w:pPr>
              <w:pStyle w:val="TableParagraph"/>
              <w:spacing w:line="214" w:lineRule="exact"/>
              <w:rPr>
                <w:sz w:val="20"/>
              </w:rPr>
            </w:pPr>
            <w:r>
              <w:rPr>
                <w:sz w:val="20"/>
              </w:rPr>
              <w:t>14.36%</w:t>
            </w:r>
          </w:p>
        </w:tc>
        <w:tc>
          <w:tcPr>
            <w:tcW w:w="2340" w:type="dxa"/>
            <w:tcBorders>
              <w:top w:val="nil"/>
              <w:left w:val="single" w:sz="8" w:space="0" w:color="000000"/>
              <w:bottom w:val="nil"/>
              <w:right w:val="single" w:sz="8" w:space="0" w:color="000000"/>
            </w:tcBorders>
          </w:tcPr>
          <w:p w:rsidR="00030318" w:rsidRDefault="00030318" w:rsidP="00030318">
            <w:pPr>
              <w:pStyle w:val="TableParagraph"/>
              <w:spacing w:line="230" w:lineRule="exact"/>
              <w:ind w:right="614"/>
              <w:rPr>
                <w:sz w:val="20"/>
              </w:rPr>
            </w:pPr>
            <w:r>
              <w:rPr>
                <w:sz w:val="20"/>
              </w:rPr>
              <w:t>Rs. 5.44 per unit Rs. 13.94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209" w:lineRule="exact"/>
              <w:rPr>
                <w:sz w:val="20"/>
              </w:rPr>
            </w:pPr>
            <w:r>
              <w:rPr>
                <w:sz w:val="20"/>
              </w:rPr>
              <w:t>Year to date (30th June’12 - 31st March’13)</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209" w:lineRule="exact"/>
              <w:rPr>
                <w:sz w:val="20"/>
              </w:rPr>
            </w:pPr>
            <w:r>
              <w:rPr>
                <w:sz w:val="20"/>
              </w:rPr>
              <w:t>6.91%</w:t>
            </w:r>
          </w:p>
        </w:tc>
        <w:tc>
          <w:tcPr>
            <w:tcW w:w="2340" w:type="dxa"/>
            <w:tcBorders>
              <w:top w:val="nil"/>
              <w:left w:val="single" w:sz="8" w:space="0" w:color="000000"/>
              <w:bottom w:val="nil"/>
              <w:right w:val="single" w:sz="8" w:space="0" w:color="000000"/>
            </w:tcBorders>
          </w:tcPr>
          <w:p w:rsidR="00030318" w:rsidRDefault="00030318" w:rsidP="00030318">
            <w:pPr>
              <w:pStyle w:val="TableParagraph"/>
              <w:spacing w:line="209" w:lineRule="exact"/>
              <w:rPr>
                <w:sz w:val="20"/>
              </w:rPr>
            </w:pPr>
            <w:r>
              <w:rPr>
                <w:sz w:val="20"/>
              </w:rPr>
              <w:t>Rs. 4.08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209" w:lineRule="exact"/>
              <w:rPr>
                <w:sz w:val="20"/>
              </w:rPr>
            </w:pPr>
            <w:r>
              <w:rPr>
                <w:sz w:val="20"/>
              </w:rPr>
              <w:t>Year ended 30 June 2012</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209" w:lineRule="exact"/>
              <w:rPr>
                <w:sz w:val="20"/>
              </w:rPr>
            </w:pPr>
            <w:r>
              <w:rPr>
                <w:sz w:val="20"/>
              </w:rPr>
              <w:t>6.12%</w:t>
            </w:r>
          </w:p>
        </w:tc>
        <w:tc>
          <w:tcPr>
            <w:tcW w:w="2340" w:type="dxa"/>
            <w:tcBorders>
              <w:top w:val="nil"/>
              <w:left w:val="single" w:sz="8" w:space="0" w:color="000000"/>
              <w:bottom w:val="nil"/>
              <w:right w:val="single" w:sz="8" w:space="0" w:color="000000"/>
            </w:tcBorders>
          </w:tcPr>
          <w:p w:rsidR="00030318" w:rsidRDefault="00030318" w:rsidP="00030318">
            <w:pPr>
              <w:pStyle w:val="TableParagraph"/>
              <w:spacing w:line="209" w:lineRule="exact"/>
              <w:rPr>
                <w:sz w:val="20"/>
              </w:rPr>
            </w:pPr>
            <w:r>
              <w:rPr>
                <w:sz w:val="20"/>
              </w:rPr>
              <w:t>NIL</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Year ended 30 June 2011</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-4.00%</w:t>
            </w:r>
          </w:p>
        </w:tc>
        <w:tc>
          <w:tcPr>
            <w:tcW w:w="2340" w:type="dxa"/>
            <w:tcBorders>
              <w:top w:val="nil"/>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Rs. 6.63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nil"/>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Year ended 30 June 2010</w:t>
            </w:r>
          </w:p>
        </w:tc>
        <w:tc>
          <w:tcPr>
            <w:tcW w:w="2521" w:type="dxa"/>
            <w:tcBorders>
              <w:top w:val="nil"/>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5.44%</w:t>
            </w:r>
          </w:p>
        </w:tc>
        <w:tc>
          <w:tcPr>
            <w:tcW w:w="2340" w:type="dxa"/>
            <w:tcBorders>
              <w:top w:val="nil"/>
              <w:left w:val="single" w:sz="8" w:space="0" w:color="000000"/>
              <w:bottom w:val="nil"/>
              <w:right w:val="single" w:sz="8" w:space="0" w:color="000000"/>
            </w:tcBorders>
          </w:tcPr>
          <w:p w:rsidR="00030318" w:rsidRDefault="00030318" w:rsidP="00030318">
            <w:pPr>
              <w:pStyle w:val="TableParagraph"/>
              <w:spacing w:line="211" w:lineRule="exact"/>
              <w:rPr>
                <w:sz w:val="20"/>
              </w:rPr>
            </w:pPr>
            <w:r>
              <w:rPr>
                <w:sz w:val="20"/>
              </w:rPr>
              <w:t>Rs. 3.32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r w:rsidR="00030318" w:rsidTr="0003031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209" w:lineRule="exact"/>
              <w:rPr>
                <w:sz w:val="20"/>
              </w:rPr>
            </w:pPr>
            <w:r>
              <w:rPr>
                <w:sz w:val="20"/>
              </w:rPr>
              <w:t>Year ended 30 June 2009*</w:t>
            </w:r>
          </w:p>
        </w:tc>
        <w:tc>
          <w:tcPr>
            <w:tcW w:w="2521"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209" w:lineRule="exact"/>
              <w:rPr>
                <w:sz w:val="20"/>
              </w:rPr>
            </w:pPr>
            <w:r>
              <w:rPr>
                <w:sz w:val="20"/>
              </w:rPr>
              <w:t>3.31%</w:t>
            </w:r>
          </w:p>
        </w:tc>
        <w:tc>
          <w:tcPr>
            <w:tcW w:w="2340" w:type="dxa"/>
            <w:tcBorders>
              <w:top w:val="nil"/>
              <w:left w:val="single" w:sz="8" w:space="0" w:color="000000"/>
              <w:bottom w:val="single" w:sz="8" w:space="0" w:color="000000"/>
              <w:right w:val="single" w:sz="8" w:space="0" w:color="000000"/>
            </w:tcBorders>
          </w:tcPr>
          <w:p w:rsidR="00030318" w:rsidRDefault="00030318" w:rsidP="00030318">
            <w:pPr>
              <w:pStyle w:val="TableParagraph"/>
              <w:spacing w:line="209" w:lineRule="exact"/>
              <w:rPr>
                <w:sz w:val="20"/>
              </w:rPr>
            </w:pPr>
            <w:r>
              <w:rPr>
                <w:sz w:val="20"/>
              </w:rPr>
              <w:t>Rs. 4.86 per unit</w:t>
            </w:r>
          </w:p>
        </w:tc>
        <w:tc>
          <w:tcPr>
            <w:tcW w:w="492" w:type="dxa"/>
            <w:vMerge/>
            <w:tcBorders>
              <w:top w:val="nil"/>
              <w:left w:val="single" w:sz="8" w:space="0" w:color="000000"/>
              <w:bottom w:val="nil"/>
              <w:right w:val="nil"/>
            </w:tcBorders>
          </w:tcPr>
          <w:p w:rsidR="00030318" w:rsidRDefault="00030318" w:rsidP="00030318">
            <w:pPr>
              <w:rPr>
                <w:sz w:val="2"/>
                <w:szCs w:val="2"/>
              </w:rPr>
            </w:pPr>
          </w:p>
        </w:tc>
      </w:tr>
    </w:tbl>
    <w:p w:rsidR="00030318" w:rsidRDefault="00030318" w:rsidP="00030318">
      <w:pPr>
        <w:pStyle w:val="BodyText"/>
        <w:spacing w:before="10"/>
        <w:rPr>
          <w:sz w:val="17"/>
        </w:rPr>
      </w:pPr>
    </w:p>
    <w:p w:rsidR="00030318" w:rsidRDefault="00030318" w:rsidP="00030318">
      <w:pPr>
        <w:pStyle w:val="Heading5"/>
        <w:spacing w:before="92"/>
        <w:ind w:left="621"/>
      </w:pPr>
      <w:r>
        <w:t>UBL Income Opportunity Fund (UIOF) (</w:t>
      </w:r>
      <w:r>
        <w:rPr>
          <w:i/>
        </w:rPr>
        <w:t xml:space="preserve">formerly </w:t>
      </w:r>
      <w:r>
        <w:t>UBL FINANCIAL SECTOR BOND FUND)</w:t>
      </w:r>
    </w:p>
    <w:p w:rsidR="00030318" w:rsidRDefault="00030318" w:rsidP="00030318">
      <w:pPr>
        <w:pStyle w:val="BodyText"/>
        <w:spacing w:before="10"/>
        <w:rPr>
          <w:b/>
        </w:rPr>
      </w:pPr>
    </w:p>
    <w:p w:rsidR="00030318" w:rsidRDefault="00030318" w:rsidP="00030318">
      <w:pPr>
        <w:pStyle w:val="BodyText"/>
        <w:spacing w:line="242" w:lineRule="auto"/>
        <w:ind w:left="621" w:right="966"/>
      </w:pPr>
      <w:r>
        <w:t>UBL Income Opportunity Fund (UIOF) (</w:t>
      </w:r>
      <w:r>
        <w:rPr>
          <w:i/>
        </w:rPr>
        <w:t xml:space="preserve">formerly </w:t>
      </w:r>
      <w:r>
        <w:t>UBL Financial Sector Bond Fund) offers investors a convenient mode of investing in high quality TFC’s/Sukuks issued by Financial Sector Institutions.</w:t>
      </w:r>
    </w:p>
    <w:p w:rsidR="00030318" w:rsidRDefault="00030318" w:rsidP="00030318">
      <w:pPr>
        <w:pStyle w:val="BodyText"/>
        <w:spacing w:before="4"/>
        <w:rPr>
          <w:sz w:val="14"/>
        </w:rPr>
      </w:pPr>
    </w:p>
    <w:p w:rsidR="00030318" w:rsidRDefault="00030318" w:rsidP="00030318">
      <w:pPr>
        <w:pStyle w:val="BodyText"/>
        <w:spacing w:line="20" w:lineRule="exact"/>
        <w:ind w:left="727"/>
        <w:rPr>
          <w:sz w:val="2"/>
        </w:rPr>
      </w:pPr>
      <w:r>
        <w:rPr>
          <w:rFonts w:ascii="Times New Roman"/>
          <w:spacing w:val="5"/>
          <w:sz w:val="2"/>
        </w:rPr>
        <w:t xml:space="preserve"> </w:t>
      </w:r>
    </w:p>
    <w:p w:rsidR="00030318" w:rsidRDefault="00030318" w:rsidP="00030318">
      <w:pPr>
        <w:pStyle w:val="BodyText"/>
        <w:ind w:left="621" w:right="966"/>
      </w:pPr>
      <w:r>
        <w:t>Furthermore, this scheme offers investors the opportunity to generate comparatively higher return(s) than other Fixed Income Category Fund(s) – i.e. Government Securities fund(s).</w:t>
      </w:r>
    </w:p>
    <w:p w:rsidR="00030318" w:rsidRDefault="00030318" w:rsidP="00030318">
      <w:pPr>
        <w:pStyle w:val="BodyText"/>
      </w:pPr>
    </w:p>
    <w:p w:rsidR="00030318" w:rsidRDefault="00030318" w:rsidP="00030318">
      <w:pPr>
        <w:pStyle w:val="BodyText"/>
        <w:spacing w:before="1"/>
        <w:rPr>
          <w:sz w:val="13"/>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1617"/>
        <w:gridCol w:w="812"/>
        <w:gridCol w:w="2432"/>
      </w:tblGrid>
      <w:tr w:rsidR="00030318" w:rsidTr="00030318">
        <w:trPr>
          <w:trHeight w:val="230"/>
        </w:trPr>
        <w:tc>
          <w:tcPr>
            <w:tcW w:w="3692" w:type="dxa"/>
          </w:tcPr>
          <w:p w:rsidR="00030318" w:rsidRDefault="00030318" w:rsidP="00030318">
            <w:pPr>
              <w:pStyle w:val="TableParagraph"/>
              <w:spacing w:line="210" w:lineRule="exact"/>
              <w:rPr>
                <w:sz w:val="20"/>
              </w:rPr>
            </w:pPr>
            <w:r>
              <w:rPr>
                <w:sz w:val="20"/>
              </w:rPr>
              <w:t>Date of launching</w:t>
            </w:r>
          </w:p>
        </w:tc>
        <w:tc>
          <w:tcPr>
            <w:tcW w:w="2429" w:type="dxa"/>
            <w:gridSpan w:val="2"/>
          </w:tcPr>
          <w:p w:rsidR="00030318" w:rsidRDefault="00030318" w:rsidP="00030318">
            <w:pPr>
              <w:pStyle w:val="TableParagraph"/>
              <w:spacing w:line="210" w:lineRule="exact"/>
              <w:ind w:left="105"/>
              <w:rPr>
                <w:sz w:val="20"/>
              </w:rPr>
            </w:pPr>
            <w:r>
              <w:rPr>
                <w:sz w:val="20"/>
              </w:rPr>
              <w:t>29 March 2013</w:t>
            </w:r>
          </w:p>
        </w:tc>
        <w:tc>
          <w:tcPr>
            <w:tcW w:w="2432" w:type="dxa"/>
          </w:tcPr>
          <w:p w:rsidR="00030318" w:rsidRDefault="00030318" w:rsidP="00030318">
            <w:pPr>
              <w:pStyle w:val="TableParagraph"/>
              <w:ind w:left="0"/>
              <w:rPr>
                <w:rFonts w:ascii="Times New Roman"/>
                <w:sz w:val="16"/>
              </w:rPr>
            </w:pPr>
          </w:p>
        </w:tc>
      </w:tr>
      <w:tr w:rsidR="00030318" w:rsidTr="00030318">
        <w:trPr>
          <w:trHeight w:val="230"/>
        </w:trPr>
        <w:tc>
          <w:tcPr>
            <w:tcW w:w="3692" w:type="dxa"/>
          </w:tcPr>
          <w:p w:rsidR="00030318" w:rsidRDefault="00030318" w:rsidP="00030318">
            <w:pPr>
              <w:pStyle w:val="TableParagraph"/>
              <w:spacing w:line="210" w:lineRule="exact"/>
              <w:rPr>
                <w:sz w:val="20"/>
              </w:rPr>
            </w:pPr>
            <w:r>
              <w:rPr>
                <w:sz w:val="20"/>
              </w:rPr>
              <w:t>Par Value of units</w:t>
            </w:r>
          </w:p>
        </w:tc>
        <w:tc>
          <w:tcPr>
            <w:tcW w:w="2429" w:type="dxa"/>
            <w:gridSpan w:val="2"/>
          </w:tcPr>
          <w:p w:rsidR="00030318" w:rsidRDefault="00030318" w:rsidP="00030318">
            <w:pPr>
              <w:pStyle w:val="TableParagraph"/>
              <w:spacing w:line="210" w:lineRule="exact"/>
              <w:ind w:left="105"/>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5"/>
        </w:trPr>
        <w:tc>
          <w:tcPr>
            <w:tcW w:w="3692" w:type="dxa"/>
            <w:tcBorders>
              <w:bottom w:val="nil"/>
            </w:tcBorders>
          </w:tcPr>
          <w:p w:rsidR="00030318" w:rsidRDefault="00030318" w:rsidP="00030318">
            <w:pPr>
              <w:pStyle w:val="TableParagraph"/>
              <w:spacing w:line="206" w:lineRule="exact"/>
              <w:rPr>
                <w:sz w:val="20"/>
              </w:rPr>
            </w:pPr>
            <w:r w:rsidRPr="00E65CA8">
              <w:rPr>
                <w:sz w:val="20"/>
              </w:rPr>
              <w:t>Net Assets (as at Feb 19 2019)</w:t>
            </w:r>
          </w:p>
        </w:tc>
        <w:tc>
          <w:tcPr>
            <w:tcW w:w="2429" w:type="dxa"/>
            <w:gridSpan w:val="2"/>
            <w:tcBorders>
              <w:bottom w:val="nil"/>
            </w:tcBorders>
          </w:tcPr>
          <w:p w:rsidR="00030318" w:rsidRDefault="00030318" w:rsidP="00030318">
            <w:pPr>
              <w:pStyle w:val="TableParagraph"/>
              <w:spacing w:line="206" w:lineRule="exact"/>
              <w:ind w:left="105"/>
              <w:rPr>
                <w:sz w:val="20"/>
              </w:rPr>
            </w:pPr>
            <w:r>
              <w:rPr>
                <w:sz w:val="20"/>
              </w:rPr>
              <w:t>Rs. 1,662 Million</w:t>
            </w:r>
          </w:p>
        </w:tc>
        <w:tc>
          <w:tcPr>
            <w:tcW w:w="2432" w:type="dxa"/>
          </w:tcPr>
          <w:p w:rsidR="00030318" w:rsidRDefault="00030318" w:rsidP="00030318">
            <w:pPr>
              <w:pStyle w:val="TableParagraph"/>
              <w:ind w:left="0"/>
              <w:rPr>
                <w:rFonts w:ascii="Times New Roman"/>
                <w:sz w:val="18"/>
              </w:rPr>
            </w:pPr>
          </w:p>
        </w:tc>
      </w:tr>
      <w:tr w:rsidR="00030318" w:rsidTr="00030318">
        <w:trPr>
          <w:trHeight w:val="225"/>
        </w:trPr>
        <w:tc>
          <w:tcPr>
            <w:tcW w:w="3692" w:type="dxa"/>
            <w:tcBorders>
              <w:bottom w:val="nil"/>
            </w:tcBorders>
          </w:tcPr>
          <w:p w:rsidR="00030318" w:rsidRDefault="00030318" w:rsidP="00030318">
            <w:pPr>
              <w:pStyle w:val="TableParagraph"/>
              <w:spacing w:line="206" w:lineRule="exact"/>
              <w:rPr>
                <w:sz w:val="20"/>
              </w:rPr>
            </w:pPr>
            <w:r>
              <w:rPr>
                <w:sz w:val="20"/>
              </w:rPr>
              <w:t>Net Assets (as at June 30 2018)</w:t>
            </w:r>
          </w:p>
        </w:tc>
        <w:tc>
          <w:tcPr>
            <w:tcW w:w="2429" w:type="dxa"/>
            <w:gridSpan w:val="2"/>
            <w:tcBorders>
              <w:bottom w:val="nil"/>
            </w:tcBorders>
          </w:tcPr>
          <w:p w:rsidR="00030318" w:rsidRDefault="00030318" w:rsidP="00030318">
            <w:pPr>
              <w:pStyle w:val="TableParagraph"/>
              <w:spacing w:line="206" w:lineRule="exact"/>
              <w:ind w:left="105"/>
              <w:rPr>
                <w:sz w:val="20"/>
              </w:rPr>
            </w:pPr>
            <w:r>
              <w:rPr>
                <w:sz w:val="20"/>
              </w:rPr>
              <w:t>Rs. 557Mn</w:t>
            </w:r>
          </w:p>
        </w:tc>
        <w:tc>
          <w:tcPr>
            <w:tcW w:w="2432" w:type="dxa"/>
          </w:tcPr>
          <w:p w:rsidR="00030318" w:rsidRDefault="00030318" w:rsidP="00030318">
            <w:pPr>
              <w:pStyle w:val="TableParagraph"/>
              <w:ind w:left="0"/>
              <w:rPr>
                <w:rFonts w:ascii="Times New Roman"/>
                <w:sz w:val="18"/>
              </w:rPr>
            </w:pPr>
          </w:p>
        </w:tc>
      </w:tr>
      <w:tr w:rsidR="00030318" w:rsidTr="00030318">
        <w:trPr>
          <w:trHeight w:val="225"/>
        </w:trPr>
        <w:tc>
          <w:tcPr>
            <w:tcW w:w="3692" w:type="dxa"/>
            <w:tcBorders>
              <w:bottom w:val="nil"/>
            </w:tcBorders>
          </w:tcPr>
          <w:p w:rsidR="00030318" w:rsidRDefault="00030318" w:rsidP="00030318">
            <w:pPr>
              <w:pStyle w:val="TableParagraph"/>
              <w:spacing w:line="206" w:lineRule="exact"/>
              <w:rPr>
                <w:sz w:val="20"/>
              </w:rPr>
            </w:pPr>
            <w:r>
              <w:rPr>
                <w:sz w:val="20"/>
              </w:rPr>
              <w:t>Net Assets (as at June 30 2017)</w:t>
            </w:r>
          </w:p>
        </w:tc>
        <w:tc>
          <w:tcPr>
            <w:tcW w:w="2429" w:type="dxa"/>
            <w:gridSpan w:val="2"/>
            <w:tcBorders>
              <w:bottom w:val="nil"/>
            </w:tcBorders>
          </w:tcPr>
          <w:p w:rsidR="00030318" w:rsidRDefault="00030318" w:rsidP="00030318">
            <w:pPr>
              <w:pStyle w:val="TableParagraph"/>
              <w:spacing w:line="206" w:lineRule="exact"/>
              <w:ind w:left="105"/>
              <w:rPr>
                <w:sz w:val="20"/>
              </w:rPr>
            </w:pPr>
            <w:r>
              <w:rPr>
                <w:sz w:val="20"/>
              </w:rPr>
              <w:t>Rs. 177Million</w:t>
            </w:r>
          </w:p>
        </w:tc>
        <w:tc>
          <w:tcPr>
            <w:tcW w:w="2432" w:type="dxa"/>
            <w:vMerge w:val="restart"/>
          </w:tcPr>
          <w:p w:rsidR="00030318" w:rsidRDefault="00030318" w:rsidP="00030318">
            <w:pPr>
              <w:pStyle w:val="TableParagraph"/>
              <w:ind w:left="0"/>
              <w:rPr>
                <w:rFonts w:ascii="Times New Roman"/>
                <w:sz w:val="18"/>
              </w:rPr>
            </w:pPr>
          </w:p>
        </w:tc>
      </w:tr>
      <w:tr w:rsidR="00030318" w:rsidTr="00030318">
        <w:trPr>
          <w:trHeight w:val="220"/>
        </w:trPr>
        <w:tc>
          <w:tcPr>
            <w:tcW w:w="3692" w:type="dxa"/>
            <w:tcBorders>
              <w:top w:val="nil"/>
              <w:bottom w:val="nil"/>
            </w:tcBorders>
          </w:tcPr>
          <w:p w:rsidR="00030318" w:rsidRDefault="00030318" w:rsidP="00030318">
            <w:pPr>
              <w:pStyle w:val="TableParagraph"/>
              <w:spacing w:line="200" w:lineRule="exact"/>
              <w:rPr>
                <w:sz w:val="20"/>
              </w:rPr>
            </w:pPr>
            <w:r>
              <w:rPr>
                <w:sz w:val="20"/>
              </w:rPr>
              <w:t>Net Assets (as at June 30 2016)</w:t>
            </w:r>
          </w:p>
        </w:tc>
        <w:tc>
          <w:tcPr>
            <w:tcW w:w="2429" w:type="dxa"/>
            <w:gridSpan w:val="2"/>
            <w:tcBorders>
              <w:top w:val="nil"/>
              <w:bottom w:val="nil"/>
            </w:tcBorders>
          </w:tcPr>
          <w:p w:rsidR="00030318" w:rsidRDefault="00030318" w:rsidP="00030318">
            <w:pPr>
              <w:pStyle w:val="TableParagraph"/>
              <w:spacing w:line="200" w:lineRule="exact"/>
              <w:ind w:left="105"/>
              <w:rPr>
                <w:sz w:val="20"/>
              </w:rPr>
            </w:pPr>
            <w:r>
              <w:rPr>
                <w:sz w:val="20"/>
              </w:rPr>
              <w:t>Rs. 151 Million</w:t>
            </w:r>
          </w:p>
        </w:tc>
        <w:tc>
          <w:tcPr>
            <w:tcW w:w="2432" w:type="dxa"/>
            <w:vMerge/>
            <w:tcBorders>
              <w:top w:val="nil"/>
            </w:tcBorders>
          </w:tcPr>
          <w:p w:rsidR="00030318" w:rsidRDefault="00030318" w:rsidP="00030318">
            <w:pPr>
              <w:rPr>
                <w:sz w:val="2"/>
                <w:szCs w:val="2"/>
              </w:rPr>
            </w:pPr>
          </w:p>
        </w:tc>
      </w:tr>
      <w:tr w:rsidR="00030318" w:rsidTr="00030318">
        <w:trPr>
          <w:trHeight w:val="220"/>
        </w:trPr>
        <w:tc>
          <w:tcPr>
            <w:tcW w:w="3692" w:type="dxa"/>
            <w:tcBorders>
              <w:top w:val="nil"/>
              <w:bottom w:val="nil"/>
            </w:tcBorders>
          </w:tcPr>
          <w:p w:rsidR="00030318" w:rsidRDefault="00030318" w:rsidP="00030318">
            <w:pPr>
              <w:pStyle w:val="TableParagraph"/>
              <w:spacing w:line="200" w:lineRule="exact"/>
              <w:rPr>
                <w:sz w:val="20"/>
              </w:rPr>
            </w:pPr>
            <w:r>
              <w:rPr>
                <w:sz w:val="20"/>
              </w:rPr>
              <w:t>Net Assets (as at June 30 2015)</w:t>
            </w:r>
          </w:p>
        </w:tc>
        <w:tc>
          <w:tcPr>
            <w:tcW w:w="2429" w:type="dxa"/>
            <w:gridSpan w:val="2"/>
            <w:tcBorders>
              <w:top w:val="nil"/>
              <w:bottom w:val="nil"/>
            </w:tcBorders>
          </w:tcPr>
          <w:p w:rsidR="00030318" w:rsidRDefault="00030318" w:rsidP="00030318">
            <w:pPr>
              <w:pStyle w:val="TableParagraph"/>
              <w:spacing w:line="200" w:lineRule="exact"/>
              <w:ind w:left="105"/>
              <w:rPr>
                <w:sz w:val="20"/>
              </w:rPr>
            </w:pPr>
            <w:r>
              <w:rPr>
                <w:sz w:val="20"/>
              </w:rPr>
              <w:t>Rs. 67 Million</w:t>
            </w:r>
          </w:p>
        </w:tc>
        <w:tc>
          <w:tcPr>
            <w:tcW w:w="2432" w:type="dxa"/>
            <w:vMerge/>
            <w:tcBorders>
              <w:top w:val="nil"/>
            </w:tcBorders>
          </w:tcPr>
          <w:p w:rsidR="00030318" w:rsidRDefault="00030318" w:rsidP="00030318">
            <w:pPr>
              <w:rPr>
                <w:sz w:val="2"/>
                <w:szCs w:val="2"/>
              </w:rPr>
            </w:pPr>
          </w:p>
        </w:tc>
      </w:tr>
      <w:tr w:rsidR="00030318" w:rsidTr="00030318">
        <w:trPr>
          <w:trHeight w:val="220"/>
        </w:trPr>
        <w:tc>
          <w:tcPr>
            <w:tcW w:w="3692" w:type="dxa"/>
            <w:tcBorders>
              <w:top w:val="nil"/>
              <w:bottom w:val="nil"/>
            </w:tcBorders>
          </w:tcPr>
          <w:p w:rsidR="00030318" w:rsidRDefault="00030318" w:rsidP="00030318">
            <w:pPr>
              <w:pStyle w:val="TableParagraph"/>
              <w:spacing w:line="200" w:lineRule="exact"/>
              <w:rPr>
                <w:sz w:val="20"/>
              </w:rPr>
            </w:pPr>
            <w:r>
              <w:rPr>
                <w:sz w:val="20"/>
              </w:rPr>
              <w:t>Net Assets (as at June 30 2014)</w:t>
            </w:r>
          </w:p>
        </w:tc>
        <w:tc>
          <w:tcPr>
            <w:tcW w:w="2429" w:type="dxa"/>
            <w:gridSpan w:val="2"/>
            <w:tcBorders>
              <w:top w:val="nil"/>
              <w:bottom w:val="nil"/>
            </w:tcBorders>
          </w:tcPr>
          <w:p w:rsidR="00030318" w:rsidRDefault="00030318" w:rsidP="00030318">
            <w:pPr>
              <w:pStyle w:val="TableParagraph"/>
              <w:spacing w:line="200" w:lineRule="exact"/>
              <w:ind w:left="105"/>
              <w:rPr>
                <w:sz w:val="20"/>
              </w:rPr>
            </w:pPr>
            <w:r>
              <w:rPr>
                <w:sz w:val="20"/>
              </w:rPr>
              <w:t>Rs. 170 Million</w:t>
            </w:r>
          </w:p>
        </w:tc>
        <w:tc>
          <w:tcPr>
            <w:tcW w:w="2432" w:type="dxa"/>
            <w:vMerge/>
            <w:tcBorders>
              <w:top w:val="nil"/>
            </w:tcBorders>
          </w:tcPr>
          <w:p w:rsidR="00030318" w:rsidRDefault="00030318" w:rsidP="00030318">
            <w:pPr>
              <w:rPr>
                <w:sz w:val="2"/>
                <w:szCs w:val="2"/>
              </w:rPr>
            </w:pPr>
          </w:p>
        </w:tc>
      </w:tr>
      <w:tr w:rsidR="00030318" w:rsidTr="00030318">
        <w:trPr>
          <w:trHeight w:val="222"/>
        </w:trPr>
        <w:tc>
          <w:tcPr>
            <w:tcW w:w="3692" w:type="dxa"/>
            <w:tcBorders>
              <w:top w:val="nil"/>
            </w:tcBorders>
          </w:tcPr>
          <w:p w:rsidR="00030318" w:rsidRDefault="00030318" w:rsidP="00030318">
            <w:pPr>
              <w:pStyle w:val="TableParagraph"/>
              <w:spacing w:line="202" w:lineRule="exact"/>
              <w:rPr>
                <w:sz w:val="20"/>
              </w:rPr>
            </w:pPr>
            <w:r>
              <w:rPr>
                <w:sz w:val="20"/>
              </w:rPr>
              <w:t>Net Assets (as at 30 June 2013)</w:t>
            </w:r>
          </w:p>
        </w:tc>
        <w:tc>
          <w:tcPr>
            <w:tcW w:w="2429" w:type="dxa"/>
            <w:gridSpan w:val="2"/>
            <w:tcBorders>
              <w:top w:val="nil"/>
            </w:tcBorders>
          </w:tcPr>
          <w:p w:rsidR="00030318" w:rsidRDefault="00030318" w:rsidP="00030318">
            <w:pPr>
              <w:pStyle w:val="TableParagraph"/>
              <w:spacing w:line="202" w:lineRule="exact"/>
              <w:ind w:left="105"/>
              <w:rPr>
                <w:sz w:val="20"/>
              </w:rPr>
            </w:pPr>
            <w:r>
              <w:rPr>
                <w:sz w:val="20"/>
              </w:rPr>
              <w:t>Rs. 673 Million</w:t>
            </w:r>
          </w:p>
        </w:tc>
        <w:tc>
          <w:tcPr>
            <w:tcW w:w="2432" w:type="dxa"/>
            <w:vMerge/>
            <w:tcBorders>
              <w:top w:val="nil"/>
            </w:tcBorders>
          </w:tcPr>
          <w:p w:rsidR="00030318" w:rsidRDefault="00030318" w:rsidP="00030318">
            <w:pPr>
              <w:rPr>
                <w:sz w:val="2"/>
                <w:szCs w:val="2"/>
              </w:rPr>
            </w:pPr>
          </w:p>
        </w:tc>
      </w:tr>
      <w:tr w:rsidR="00030318" w:rsidTr="00030318">
        <w:trPr>
          <w:trHeight w:val="226"/>
        </w:trPr>
        <w:tc>
          <w:tcPr>
            <w:tcW w:w="3692" w:type="dxa"/>
            <w:tcBorders>
              <w:bottom w:val="nil"/>
            </w:tcBorders>
          </w:tcPr>
          <w:p w:rsidR="00030318" w:rsidRDefault="00030318" w:rsidP="00030318">
            <w:pPr>
              <w:pStyle w:val="TableParagraph"/>
              <w:spacing w:line="207" w:lineRule="exact"/>
              <w:rPr>
                <w:sz w:val="20"/>
              </w:rPr>
            </w:pPr>
            <w:r w:rsidRPr="00E65CA8">
              <w:rPr>
                <w:sz w:val="20"/>
              </w:rPr>
              <w:t>NAV (as at Feb 19, 2019)</w:t>
            </w:r>
          </w:p>
        </w:tc>
        <w:tc>
          <w:tcPr>
            <w:tcW w:w="2429" w:type="dxa"/>
            <w:gridSpan w:val="2"/>
            <w:tcBorders>
              <w:bottom w:val="nil"/>
            </w:tcBorders>
          </w:tcPr>
          <w:p w:rsidR="00030318" w:rsidRDefault="00030318" w:rsidP="00030318">
            <w:pPr>
              <w:pStyle w:val="TableParagraph"/>
              <w:spacing w:line="207" w:lineRule="exact"/>
              <w:ind w:left="105"/>
              <w:rPr>
                <w:sz w:val="20"/>
              </w:rPr>
            </w:pPr>
            <w:r>
              <w:rPr>
                <w:sz w:val="20"/>
              </w:rPr>
              <w:t xml:space="preserve">Rs. </w:t>
            </w:r>
            <w:r w:rsidRPr="00E65CA8">
              <w:rPr>
                <w:sz w:val="20"/>
              </w:rPr>
              <w:t>115.5142</w:t>
            </w:r>
          </w:p>
        </w:tc>
        <w:tc>
          <w:tcPr>
            <w:tcW w:w="2432" w:type="dxa"/>
          </w:tcPr>
          <w:p w:rsidR="00030318" w:rsidRDefault="00030318" w:rsidP="00030318">
            <w:pPr>
              <w:pStyle w:val="TableParagraph"/>
              <w:ind w:left="0"/>
              <w:rPr>
                <w:rFonts w:ascii="Times New Roman"/>
                <w:sz w:val="18"/>
              </w:rPr>
            </w:pPr>
          </w:p>
        </w:tc>
      </w:tr>
      <w:tr w:rsidR="00030318" w:rsidTr="00030318">
        <w:trPr>
          <w:trHeight w:val="226"/>
        </w:trPr>
        <w:tc>
          <w:tcPr>
            <w:tcW w:w="3692" w:type="dxa"/>
            <w:tcBorders>
              <w:bottom w:val="nil"/>
            </w:tcBorders>
          </w:tcPr>
          <w:p w:rsidR="00030318" w:rsidRDefault="00030318" w:rsidP="00030318">
            <w:pPr>
              <w:pStyle w:val="TableParagraph"/>
              <w:spacing w:line="207" w:lineRule="exact"/>
              <w:rPr>
                <w:sz w:val="20"/>
              </w:rPr>
            </w:pPr>
            <w:r>
              <w:rPr>
                <w:sz w:val="20"/>
              </w:rPr>
              <w:t>NAV (as at June 30 2017)</w:t>
            </w:r>
          </w:p>
        </w:tc>
        <w:tc>
          <w:tcPr>
            <w:tcW w:w="2429" w:type="dxa"/>
            <w:gridSpan w:val="2"/>
            <w:tcBorders>
              <w:bottom w:val="nil"/>
            </w:tcBorders>
          </w:tcPr>
          <w:p w:rsidR="00030318" w:rsidRDefault="00030318" w:rsidP="00030318">
            <w:pPr>
              <w:pStyle w:val="TableParagraph"/>
              <w:spacing w:line="207" w:lineRule="exact"/>
              <w:ind w:left="105"/>
              <w:rPr>
                <w:sz w:val="20"/>
              </w:rPr>
            </w:pPr>
            <w:r>
              <w:rPr>
                <w:sz w:val="20"/>
              </w:rPr>
              <w:t>109.9753</w:t>
            </w:r>
          </w:p>
        </w:tc>
        <w:tc>
          <w:tcPr>
            <w:tcW w:w="2432" w:type="dxa"/>
            <w:vMerge w:val="restart"/>
          </w:tcPr>
          <w:p w:rsidR="00030318" w:rsidRDefault="00030318" w:rsidP="00030318">
            <w:pPr>
              <w:pStyle w:val="TableParagraph"/>
              <w:ind w:left="0"/>
              <w:rPr>
                <w:rFonts w:ascii="Times New Roman"/>
                <w:sz w:val="18"/>
              </w:rPr>
            </w:pPr>
          </w:p>
        </w:tc>
      </w:tr>
      <w:tr w:rsidR="00030318" w:rsidTr="00030318">
        <w:trPr>
          <w:trHeight w:val="219"/>
        </w:trPr>
        <w:tc>
          <w:tcPr>
            <w:tcW w:w="3692" w:type="dxa"/>
            <w:tcBorders>
              <w:top w:val="nil"/>
              <w:bottom w:val="nil"/>
            </w:tcBorders>
          </w:tcPr>
          <w:p w:rsidR="00030318" w:rsidRDefault="00030318" w:rsidP="00030318">
            <w:pPr>
              <w:pStyle w:val="TableParagraph"/>
              <w:spacing w:line="199" w:lineRule="exact"/>
              <w:rPr>
                <w:sz w:val="20"/>
              </w:rPr>
            </w:pPr>
            <w:r>
              <w:rPr>
                <w:sz w:val="20"/>
              </w:rPr>
              <w:t>NAV (as at June 30 2016)</w:t>
            </w:r>
          </w:p>
        </w:tc>
        <w:tc>
          <w:tcPr>
            <w:tcW w:w="2429" w:type="dxa"/>
            <w:gridSpan w:val="2"/>
            <w:tcBorders>
              <w:top w:val="nil"/>
              <w:bottom w:val="nil"/>
            </w:tcBorders>
          </w:tcPr>
          <w:p w:rsidR="00030318" w:rsidRDefault="00030318" w:rsidP="00030318">
            <w:pPr>
              <w:pStyle w:val="TableParagraph"/>
              <w:spacing w:line="199" w:lineRule="exact"/>
              <w:ind w:left="105"/>
              <w:rPr>
                <w:sz w:val="20"/>
              </w:rPr>
            </w:pPr>
            <w:r>
              <w:rPr>
                <w:sz w:val="20"/>
              </w:rPr>
              <w:t>109.7889</w:t>
            </w:r>
          </w:p>
        </w:tc>
        <w:tc>
          <w:tcPr>
            <w:tcW w:w="2432" w:type="dxa"/>
            <w:vMerge/>
            <w:tcBorders>
              <w:top w:val="nil"/>
            </w:tcBorders>
          </w:tcPr>
          <w:p w:rsidR="00030318" w:rsidRDefault="00030318" w:rsidP="00030318">
            <w:pPr>
              <w:rPr>
                <w:sz w:val="2"/>
                <w:szCs w:val="2"/>
              </w:rPr>
            </w:pPr>
          </w:p>
        </w:tc>
      </w:tr>
      <w:tr w:rsidR="00030318" w:rsidTr="00030318">
        <w:trPr>
          <w:trHeight w:val="220"/>
        </w:trPr>
        <w:tc>
          <w:tcPr>
            <w:tcW w:w="3692" w:type="dxa"/>
            <w:tcBorders>
              <w:top w:val="nil"/>
              <w:bottom w:val="nil"/>
            </w:tcBorders>
          </w:tcPr>
          <w:p w:rsidR="00030318" w:rsidRDefault="00030318" w:rsidP="00030318">
            <w:pPr>
              <w:pStyle w:val="TableParagraph"/>
              <w:spacing w:line="200" w:lineRule="exact"/>
              <w:rPr>
                <w:sz w:val="20"/>
              </w:rPr>
            </w:pPr>
            <w:r>
              <w:rPr>
                <w:sz w:val="20"/>
              </w:rPr>
              <w:t>NAV (as at June 30 2015)</w:t>
            </w:r>
          </w:p>
        </w:tc>
        <w:tc>
          <w:tcPr>
            <w:tcW w:w="2429" w:type="dxa"/>
            <w:gridSpan w:val="2"/>
            <w:tcBorders>
              <w:top w:val="nil"/>
              <w:bottom w:val="nil"/>
            </w:tcBorders>
          </w:tcPr>
          <w:p w:rsidR="00030318" w:rsidRDefault="00030318" w:rsidP="00030318">
            <w:pPr>
              <w:pStyle w:val="TableParagraph"/>
              <w:spacing w:line="200" w:lineRule="exact"/>
              <w:ind w:left="105"/>
              <w:rPr>
                <w:sz w:val="20"/>
              </w:rPr>
            </w:pPr>
            <w:r>
              <w:rPr>
                <w:sz w:val="20"/>
              </w:rPr>
              <w:t>108.436</w:t>
            </w:r>
          </w:p>
        </w:tc>
        <w:tc>
          <w:tcPr>
            <w:tcW w:w="2432" w:type="dxa"/>
            <w:vMerge/>
            <w:tcBorders>
              <w:top w:val="nil"/>
            </w:tcBorders>
          </w:tcPr>
          <w:p w:rsidR="00030318" w:rsidRDefault="00030318" w:rsidP="00030318">
            <w:pPr>
              <w:rPr>
                <w:sz w:val="2"/>
                <w:szCs w:val="2"/>
              </w:rPr>
            </w:pPr>
          </w:p>
        </w:tc>
      </w:tr>
      <w:tr w:rsidR="00030318" w:rsidTr="00030318">
        <w:trPr>
          <w:trHeight w:val="220"/>
        </w:trPr>
        <w:tc>
          <w:tcPr>
            <w:tcW w:w="3692" w:type="dxa"/>
            <w:tcBorders>
              <w:top w:val="nil"/>
              <w:bottom w:val="nil"/>
            </w:tcBorders>
          </w:tcPr>
          <w:p w:rsidR="00030318" w:rsidRDefault="00030318" w:rsidP="00030318">
            <w:pPr>
              <w:pStyle w:val="TableParagraph"/>
              <w:spacing w:line="201" w:lineRule="exact"/>
              <w:rPr>
                <w:sz w:val="20"/>
              </w:rPr>
            </w:pPr>
            <w:r>
              <w:rPr>
                <w:sz w:val="20"/>
              </w:rPr>
              <w:t>NAV (as at June 30 2014)</w:t>
            </w:r>
          </w:p>
        </w:tc>
        <w:tc>
          <w:tcPr>
            <w:tcW w:w="2429" w:type="dxa"/>
            <w:gridSpan w:val="2"/>
            <w:tcBorders>
              <w:top w:val="nil"/>
              <w:bottom w:val="nil"/>
            </w:tcBorders>
          </w:tcPr>
          <w:p w:rsidR="00030318" w:rsidRDefault="00030318" w:rsidP="00030318">
            <w:pPr>
              <w:pStyle w:val="TableParagraph"/>
              <w:spacing w:line="201" w:lineRule="exact"/>
              <w:ind w:left="105"/>
              <w:rPr>
                <w:sz w:val="20"/>
              </w:rPr>
            </w:pPr>
            <w:r>
              <w:rPr>
                <w:sz w:val="20"/>
              </w:rPr>
              <w:t>100.7328</w:t>
            </w:r>
          </w:p>
        </w:tc>
        <w:tc>
          <w:tcPr>
            <w:tcW w:w="2432" w:type="dxa"/>
            <w:vMerge/>
            <w:tcBorders>
              <w:top w:val="nil"/>
            </w:tcBorders>
          </w:tcPr>
          <w:p w:rsidR="00030318" w:rsidRDefault="00030318" w:rsidP="00030318">
            <w:pPr>
              <w:rPr>
                <w:sz w:val="2"/>
                <w:szCs w:val="2"/>
              </w:rPr>
            </w:pPr>
          </w:p>
        </w:tc>
      </w:tr>
      <w:tr w:rsidR="00030318" w:rsidTr="00030318">
        <w:trPr>
          <w:trHeight w:val="224"/>
        </w:trPr>
        <w:tc>
          <w:tcPr>
            <w:tcW w:w="3692" w:type="dxa"/>
            <w:tcBorders>
              <w:top w:val="nil"/>
            </w:tcBorders>
          </w:tcPr>
          <w:p w:rsidR="00030318" w:rsidRDefault="00030318" w:rsidP="00030318">
            <w:pPr>
              <w:pStyle w:val="TableParagraph"/>
              <w:spacing w:line="205" w:lineRule="exact"/>
              <w:rPr>
                <w:sz w:val="20"/>
              </w:rPr>
            </w:pPr>
            <w:r>
              <w:rPr>
                <w:sz w:val="20"/>
              </w:rPr>
              <w:t>NAV (as at 30 June 2013)</w:t>
            </w:r>
          </w:p>
        </w:tc>
        <w:tc>
          <w:tcPr>
            <w:tcW w:w="2429" w:type="dxa"/>
            <w:gridSpan w:val="2"/>
            <w:tcBorders>
              <w:top w:val="nil"/>
            </w:tcBorders>
          </w:tcPr>
          <w:p w:rsidR="00030318" w:rsidRDefault="00030318" w:rsidP="00030318">
            <w:pPr>
              <w:pStyle w:val="TableParagraph"/>
              <w:spacing w:line="205" w:lineRule="exact"/>
              <w:ind w:left="105"/>
              <w:rPr>
                <w:sz w:val="20"/>
              </w:rPr>
            </w:pPr>
            <w:r>
              <w:rPr>
                <w:sz w:val="20"/>
              </w:rPr>
              <w:t>100.0997</w:t>
            </w:r>
          </w:p>
        </w:tc>
        <w:tc>
          <w:tcPr>
            <w:tcW w:w="2432" w:type="dxa"/>
            <w:vMerge/>
            <w:tcBorders>
              <w:top w:val="nil"/>
            </w:tcBorders>
          </w:tcPr>
          <w:p w:rsidR="00030318" w:rsidRDefault="00030318" w:rsidP="00030318">
            <w:pPr>
              <w:rPr>
                <w:sz w:val="2"/>
                <w:szCs w:val="2"/>
              </w:rPr>
            </w:pPr>
          </w:p>
        </w:tc>
      </w:tr>
      <w:tr w:rsidR="00030318" w:rsidTr="00030318">
        <w:trPr>
          <w:trHeight w:val="460"/>
        </w:trPr>
        <w:tc>
          <w:tcPr>
            <w:tcW w:w="3692" w:type="dxa"/>
          </w:tcPr>
          <w:p w:rsidR="00030318" w:rsidRDefault="00030318" w:rsidP="00030318">
            <w:pPr>
              <w:pStyle w:val="TableParagraph"/>
              <w:spacing w:before="112"/>
              <w:rPr>
                <w:sz w:val="20"/>
              </w:rPr>
            </w:pPr>
            <w:r>
              <w:rPr>
                <w:sz w:val="20"/>
              </w:rPr>
              <w:t>Listing</w:t>
            </w:r>
          </w:p>
        </w:tc>
        <w:tc>
          <w:tcPr>
            <w:tcW w:w="1617" w:type="dxa"/>
            <w:tcBorders>
              <w:right w:val="nil"/>
            </w:tcBorders>
          </w:tcPr>
          <w:p w:rsidR="00030318" w:rsidRDefault="00030318" w:rsidP="00030318">
            <w:pPr>
              <w:pStyle w:val="TableParagraph"/>
              <w:spacing w:line="230" w:lineRule="exact"/>
              <w:ind w:left="105"/>
              <w:rPr>
                <w:sz w:val="20"/>
              </w:rPr>
            </w:pPr>
            <w:r>
              <w:rPr>
                <w:sz w:val="20"/>
              </w:rPr>
              <w:t xml:space="preserve">Pakistan </w:t>
            </w:r>
            <w:r>
              <w:rPr>
                <w:w w:val="95"/>
                <w:sz w:val="20"/>
              </w:rPr>
              <w:t>Exchange</w:t>
            </w:r>
          </w:p>
        </w:tc>
        <w:tc>
          <w:tcPr>
            <w:tcW w:w="812" w:type="dxa"/>
            <w:tcBorders>
              <w:left w:val="nil"/>
            </w:tcBorders>
          </w:tcPr>
          <w:p w:rsidR="00030318" w:rsidRDefault="00030318" w:rsidP="00030318">
            <w:pPr>
              <w:pStyle w:val="TableParagraph"/>
              <w:spacing w:line="227" w:lineRule="exact"/>
              <w:ind w:left="206"/>
              <w:rPr>
                <w:sz w:val="20"/>
              </w:rPr>
            </w:pPr>
            <w:r>
              <w:rPr>
                <w:sz w:val="20"/>
              </w:rPr>
              <w:t>Stock</w:t>
            </w:r>
          </w:p>
        </w:tc>
        <w:tc>
          <w:tcPr>
            <w:tcW w:w="2432" w:type="dxa"/>
          </w:tcPr>
          <w:p w:rsidR="00030318" w:rsidRDefault="00030318" w:rsidP="00030318">
            <w:pPr>
              <w:pStyle w:val="TableParagraph"/>
              <w:ind w:left="0"/>
              <w:rPr>
                <w:rFonts w:ascii="Times New Roman"/>
                <w:sz w:val="18"/>
              </w:rPr>
            </w:pPr>
          </w:p>
        </w:tc>
      </w:tr>
      <w:tr w:rsidR="00030318" w:rsidTr="00030318">
        <w:trPr>
          <w:trHeight w:val="229"/>
        </w:trPr>
        <w:tc>
          <w:tcPr>
            <w:tcW w:w="3692" w:type="dxa"/>
          </w:tcPr>
          <w:p w:rsidR="00030318" w:rsidRDefault="00030318" w:rsidP="00030318">
            <w:pPr>
              <w:pStyle w:val="TableParagraph"/>
              <w:spacing w:line="210" w:lineRule="exact"/>
              <w:rPr>
                <w:b/>
                <w:sz w:val="20"/>
              </w:rPr>
            </w:pPr>
            <w:r>
              <w:rPr>
                <w:b/>
                <w:sz w:val="20"/>
              </w:rPr>
              <w:t>Fund Rating:</w:t>
            </w:r>
          </w:p>
        </w:tc>
        <w:tc>
          <w:tcPr>
            <w:tcW w:w="2429" w:type="dxa"/>
            <w:gridSpan w:val="2"/>
          </w:tcPr>
          <w:p w:rsidR="00030318" w:rsidRDefault="00030318" w:rsidP="00030318">
            <w:pPr>
              <w:pStyle w:val="TableParagraph"/>
              <w:spacing w:line="210" w:lineRule="exact"/>
              <w:ind w:left="105"/>
              <w:rPr>
                <w:sz w:val="20"/>
              </w:rPr>
            </w:pPr>
            <w:r>
              <w:rPr>
                <w:sz w:val="20"/>
              </w:rPr>
              <w:t>Not yet Rated</w:t>
            </w:r>
          </w:p>
        </w:tc>
        <w:tc>
          <w:tcPr>
            <w:tcW w:w="2432" w:type="dxa"/>
          </w:tcPr>
          <w:p w:rsidR="00030318" w:rsidRDefault="00030318" w:rsidP="00030318">
            <w:pPr>
              <w:pStyle w:val="TableParagraph"/>
              <w:ind w:left="0"/>
              <w:rPr>
                <w:rFonts w:ascii="Times New Roman"/>
                <w:sz w:val="16"/>
              </w:rPr>
            </w:pPr>
          </w:p>
        </w:tc>
      </w:tr>
      <w:tr w:rsidR="00030318" w:rsidTr="00030318">
        <w:trPr>
          <w:trHeight w:val="230"/>
        </w:trPr>
        <w:tc>
          <w:tcPr>
            <w:tcW w:w="3692" w:type="dxa"/>
          </w:tcPr>
          <w:p w:rsidR="00030318" w:rsidRDefault="00030318" w:rsidP="00030318">
            <w:pPr>
              <w:pStyle w:val="TableParagraph"/>
              <w:spacing w:line="210" w:lineRule="exact"/>
              <w:rPr>
                <w:b/>
                <w:sz w:val="20"/>
              </w:rPr>
            </w:pPr>
            <w:r>
              <w:rPr>
                <w:b/>
                <w:sz w:val="20"/>
              </w:rPr>
              <w:t>Performance:</w:t>
            </w:r>
          </w:p>
        </w:tc>
        <w:tc>
          <w:tcPr>
            <w:tcW w:w="2429" w:type="dxa"/>
            <w:gridSpan w:val="2"/>
          </w:tcPr>
          <w:p w:rsidR="00030318" w:rsidRDefault="00030318" w:rsidP="00030318">
            <w:pPr>
              <w:pStyle w:val="TableParagraph"/>
              <w:spacing w:line="210" w:lineRule="exact"/>
              <w:ind w:left="105"/>
              <w:rPr>
                <w:b/>
                <w:sz w:val="20"/>
              </w:rPr>
            </w:pPr>
            <w:r>
              <w:rPr>
                <w:b/>
                <w:sz w:val="20"/>
              </w:rPr>
              <w:t>Return</w:t>
            </w:r>
          </w:p>
        </w:tc>
        <w:tc>
          <w:tcPr>
            <w:tcW w:w="2432" w:type="dxa"/>
          </w:tcPr>
          <w:p w:rsidR="00030318" w:rsidRDefault="00030318" w:rsidP="00030318">
            <w:pPr>
              <w:pStyle w:val="TableParagraph"/>
              <w:spacing w:line="210" w:lineRule="exact"/>
              <w:rPr>
                <w:b/>
                <w:sz w:val="20"/>
              </w:rPr>
            </w:pPr>
            <w:r>
              <w:rPr>
                <w:b/>
                <w:sz w:val="20"/>
              </w:rPr>
              <w:t>Payout</w:t>
            </w:r>
          </w:p>
        </w:tc>
      </w:tr>
      <w:tr w:rsidR="00030318" w:rsidTr="00030318">
        <w:trPr>
          <w:trHeight w:val="240"/>
        </w:trPr>
        <w:tc>
          <w:tcPr>
            <w:tcW w:w="3692" w:type="dxa"/>
            <w:tcBorders>
              <w:bottom w:val="nil"/>
            </w:tcBorders>
          </w:tcPr>
          <w:p w:rsidR="00030318" w:rsidRDefault="00030318" w:rsidP="00030318">
            <w:pPr>
              <w:pStyle w:val="TableParagraph"/>
              <w:spacing w:before="6" w:line="214" w:lineRule="exact"/>
              <w:rPr>
                <w:sz w:val="20"/>
              </w:rPr>
            </w:pPr>
            <w:r>
              <w:rPr>
                <w:sz w:val="20"/>
              </w:rPr>
              <w:t>Year ended June 30 2017</w:t>
            </w:r>
          </w:p>
        </w:tc>
        <w:tc>
          <w:tcPr>
            <w:tcW w:w="2429" w:type="dxa"/>
            <w:gridSpan w:val="2"/>
            <w:tcBorders>
              <w:bottom w:val="nil"/>
            </w:tcBorders>
          </w:tcPr>
          <w:p w:rsidR="00030318" w:rsidRDefault="00030318" w:rsidP="00030318">
            <w:pPr>
              <w:pStyle w:val="TableParagraph"/>
              <w:spacing w:before="6" w:line="214" w:lineRule="exact"/>
              <w:ind w:left="105"/>
              <w:rPr>
                <w:sz w:val="20"/>
              </w:rPr>
            </w:pPr>
            <w:r>
              <w:rPr>
                <w:sz w:val="20"/>
              </w:rPr>
              <w:t>4.73%</w:t>
            </w:r>
          </w:p>
        </w:tc>
        <w:tc>
          <w:tcPr>
            <w:tcW w:w="2432" w:type="dxa"/>
            <w:tcBorders>
              <w:bottom w:val="nil"/>
            </w:tcBorders>
          </w:tcPr>
          <w:p w:rsidR="00030318" w:rsidRDefault="00030318" w:rsidP="00030318">
            <w:pPr>
              <w:pStyle w:val="TableParagraph"/>
              <w:spacing w:before="6" w:line="214" w:lineRule="exact"/>
              <w:rPr>
                <w:sz w:val="20"/>
              </w:rPr>
            </w:pPr>
            <w:r>
              <w:rPr>
                <w:sz w:val="20"/>
              </w:rPr>
              <w:t>Rs. 5.00 per unit</w:t>
            </w:r>
          </w:p>
        </w:tc>
      </w:tr>
      <w:tr w:rsidR="00030318" w:rsidTr="00030318">
        <w:trPr>
          <w:trHeight w:val="230"/>
        </w:trPr>
        <w:tc>
          <w:tcPr>
            <w:tcW w:w="3692" w:type="dxa"/>
            <w:tcBorders>
              <w:top w:val="nil"/>
              <w:bottom w:val="nil"/>
            </w:tcBorders>
          </w:tcPr>
          <w:p w:rsidR="00030318" w:rsidRDefault="00030318" w:rsidP="00030318">
            <w:pPr>
              <w:pStyle w:val="TableParagraph"/>
              <w:spacing w:line="210" w:lineRule="exact"/>
              <w:rPr>
                <w:sz w:val="20"/>
              </w:rPr>
            </w:pPr>
            <w:r>
              <w:rPr>
                <w:sz w:val="20"/>
              </w:rPr>
              <w:t>Year ended June 30 2016</w:t>
            </w:r>
          </w:p>
        </w:tc>
        <w:tc>
          <w:tcPr>
            <w:tcW w:w="2429" w:type="dxa"/>
            <w:gridSpan w:val="2"/>
            <w:tcBorders>
              <w:top w:val="nil"/>
              <w:bottom w:val="nil"/>
            </w:tcBorders>
          </w:tcPr>
          <w:p w:rsidR="00030318" w:rsidRDefault="00030318" w:rsidP="00030318">
            <w:pPr>
              <w:pStyle w:val="TableParagraph"/>
              <w:spacing w:line="210" w:lineRule="exact"/>
              <w:ind w:left="105"/>
              <w:rPr>
                <w:sz w:val="20"/>
              </w:rPr>
            </w:pPr>
            <w:r>
              <w:rPr>
                <w:sz w:val="20"/>
              </w:rPr>
              <w:t>7.71%</w:t>
            </w:r>
          </w:p>
        </w:tc>
        <w:tc>
          <w:tcPr>
            <w:tcW w:w="2432" w:type="dxa"/>
            <w:tcBorders>
              <w:top w:val="nil"/>
              <w:bottom w:val="nil"/>
            </w:tcBorders>
          </w:tcPr>
          <w:p w:rsidR="00030318" w:rsidRDefault="00030318" w:rsidP="00030318">
            <w:pPr>
              <w:pStyle w:val="TableParagraph"/>
              <w:spacing w:line="210" w:lineRule="exact"/>
              <w:rPr>
                <w:sz w:val="20"/>
              </w:rPr>
            </w:pPr>
            <w:r>
              <w:rPr>
                <w:sz w:val="20"/>
              </w:rPr>
              <w:t>Rs. 7.00 per unit</w:t>
            </w:r>
          </w:p>
        </w:tc>
      </w:tr>
      <w:tr w:rsidR="00030318" w:rsidTr="00030318">
        <w:trPr>
          <w:trHeight w:val="230"/>
        </w:trPr>
        <w:tc>
          <w:tcPr>
            <w:tcW w:w="3692" w:type="dxa"/>
            <w:tcBorders>
              <w:top w:val="nil"/>
              <w:bottom w:val="nil"/>
            </w:tcBorders>
          </w:tcPr>
          <w:p w:rsidR="00030318" w:rsidRDefault="00030318" w:rsidP="00030318">
            <w:pPr>
              <w:pStyle w:val="TableParagraph"/>
              <w:spacing w:line="210" w:lineRule="exact"/>
              <w:rPr>
                <w:sz w:val="20"/>
              </w:rPr>
            </w:pPr>
            <w:r>
              <w:rPr>
                <w:sz w:val="20"/>
              </w:rPr>
              <w:t>Year ended June 30 2015)</w:t>
            </w:r>
          </w:p>
        </w:tc>
        <w:tc>
          <w:tcPr>
            <w:tcW w:w="2429" w:type="dxa"/>
            <w:gridSpan w:val="2"/>
            <w:tcBorders>
              <w:top w:val="nil"/>
              <w:bottom w:val="nil"/>
            </w:tcBorders>
          </w:tcPr>
          <w:p w:rsidR="00030318" w:rsidRDefault="00030318" w:rsidP="00030318">
            <w:pPr>
              <w:pStyle w:val="TableParagraph"/>
              <w:spacing w:line="210" w:lineRule="exact"/>
              <w:ind w:left="105"/>
              <w:rPr>
                <w:sz w:val="20"/>
              </w:rPr>
            </w:pPr>
            <w:r>
              <w:rPr>
                <w:sz w:val="20"/>
              </w:rPr>
              <w:t>10.86%</w:t>
            </w:r>
          </w:p>
        </w:tc>
        <w:tc>
          <w:tcPr>
            <w:tcW w:w="2432" w:type="dxa"/>
            <w:tcBorders>
              <w:top w:val="nil"/>
              <w:bottom w:val="nil"/>
            </w:tcBorders>
          </w:tcPr>
          <w:p w:rsidR="00030318" w:rsidRDefault="00030318" w:rsidP="00030318">
            <w:pPr>
              <w:pStyle w:val="TableParagraph"/>
              <w:spacing w:line="210" w:lineRule="exact"/>
              <w:rPr>
                <w:sz w:val="20"/>
              </w:rPr>
            </w:pPr>
            <w:r>
              <w:rPr>
                <w:sz w:val="20"/>
              </w:rPr>
              <w:t>Rs. 3.24 per unit</w:t>
            </w:r>
          </w:p>
        </w:tc>
      </w:tr>
      <w:tr w:rsidR="00030318" w:rsidTr="00030318">
        <w:trPr>
          <w:trHeight w:val="230"/>
        </w:trPr>
        <w:tc>
          <w:tcPr>
            <w:tcW w:w="3692" w:type="dxa"/>
            <w:tcBorders>
              <w:top w:val="nil"/>
              <w:bottom w:val="nil"/>
            </w:tcBorders>
          </w:tcPr>
          <w:p w:rsidR="00030318" w:rsidRDefault="00030318" w:rsidP="00030318">
            <w:pPr>
              <w:pStyle w:val="TableParagraph"/>
              <w:spacing w:line="210" w:lineRule="exact"/>
              <w:rPr>
                <w:sz w:val="20"/>
              </w:rPr>
            </w:pPr>
            <w:r>
              <w:rPr>
                <w:sz w:val="20"/>
              </w:rPr>
              <w:t>Year ended June 30 2014)</w:t>
            </w:r>
          </w:p>
        </w:tc>
        <w:tc>
          <w:tcPr>
            <w:tcW w:w="2429" w:type="dxa"/>
            <w:gridSpan w:val="2"/>
            <w:tcBorders>
              <w:top w:val="nil"/>
              <w:bottom w:val="nil"/>
            </w:tcBorders>
          </w:tcPr>
          <w:p w:rsidR="00030318" w:rsidRDefault="00030318" w:rsidP="00030318">
            <w:pPr>
              <w:pStyle w:val="TableParagraph"/>
              <w:spacing w:line="210" w:lineRule="exact"/>
              <w:ind w:left="105"/>
              <w:rPr>
                <w:sz w:val="20"/>
              </w:rPr>
            </w:pPr>
            <w:r>
              <w:rPr>
                <w:sz w:val="20"/>
              </w:rPr>
              <w:t>6.99%</w:t>
            </w:r>
          </w:p>
        </w:tc>
        <w:tc>
          <w:tcPr>
            <w:tcW w:w="2432" w:type="dxa"/>
            <w:tcBorders>
              <w:top w:val="nil"/>
              <w:bottom w:val="nil"/>
            </w:tcBorders>
          </w:tcPr>
          <w:p w:rsidR="00030318" w:rsidRDefault="00030318" w:rsidP="00030318">
            <w:pPr>
              <w:pStyle w:val="TableParagraph"/>
              <w:spacing w:line="210" w:lineRule="exact"/>
              <w:rPr>
                <w:sz w:val="20"/>
              </w:rPr>
            </w:pPr>
            <w:r>
              <w:rPr>
                <w:sz w:val="20"/>
              </w:rPr>
              <w:t>Rs. 6.56 per unit</w:t>
            </w:r>
          </w:p>
        </w:tc>
      </w:tr>
      <w:tr w:rsidR="00030318" w:rsidTr="00030318">
        <w:trPr>
          <w:trHeight w:val="241"/>
        </w:trPr>
        <w:tc>
          <w:tcPr>
            <w:tcW w:w="3692" w:type="dxa"/>
            <w:tcBorders>
              <w:top w:val="nil"/>
            </w:tcBorders>
          </w:tcPr>
          <w:p w:rsidR="00030318" w:rsidRDefault="00030318" w:rsidP="00030318">
            <w:pPr>
              <w:pStyle w:val="TableParagraph"/>
              <w:spacing w:line="222" w:lineRule="exact"/>
              <w:rPr>
                <w:sz w:val="20"/>
              </w:rPr>
            </w:pPr>
            <w:r>
              <w:rPr>
                <w:sz w:val="20"/>
              </w:rPr>
              <w:t>Year ended 30 June 2013</w:t>
            </w:r>
          </w:p>
        </w:tc>
        <w:tc>
          <w:tcPr>
            <w:tcW w:w="2429" w:type="dxa"/>
            <w:gridSpan w:val="2"/>
            <w:tcBorders>
              <w:top w:val="nil"/>
            </w:tcBorders>
          </w:tcPr>
          <w:p w:rsidR="00030318" w:rsidRDefault="00030318" w:rsidP="00030318">
            <w:pPr>
              <w:pStyle w:val="TableParagraph"/>
              <w:spacing w:line="222" w:lineRule="exact"/>
              <w:ind w:left="105"/>
              <w:rPr>
                <w:sz w:val="20"/>
              </w:rPr>
            </w:pPr>
            <w:r>
              <w:rPr>
                <w:sz w:val="20"/>
              </w:rPr>
              <w:t>9.55%</w:t>
            </w:r>
          </w:p>
        </w:tc>
        <w:tc>
          <w:tcPr>
            <w:tcW w:w="2432" w:type="dxa"/>
            <w:tcBorders>
              <w:top w:val="nil"/>
            </w:tcBorders>
          </w:tcPr>
          <w:p w:rsidR="00030318" w:rsidRDefault="00030318" w:rsidP="00030318">
            <w:pPr>
              <w:pStyle w:val="TableParagraph"/>
              <w:spacing w:line="222" w:lineRule="exact"/>
              <w:rPr>
                <w:sz w:val="20"/>
              </w:rPr>
            </w:pPr>
            <w:r>
              <w:rPr>
                <w:sz w:val="20"/>
              </w:rPr>
              <w:t>Rs. 1.95 per unit</w:t>
            </w:r>
          </w:p>
        </w:tc>
      </w:tr>
    </w:tbl>
    <w:p w:rsidR="00030318" w:rsidRDefault="00030318" w:rsidP="00030318">
      <w:pPr>
        <w:pStyle w:val="BodyText"/>
        <w:rPr>
          <w:sz w:val="22"/>
        </w:rPr>
      </w:pPr>
    </w:p>
    <w:p w:rsidR="00030318" w:rsidRDefault="00030318" w:rsidP="00030318">
      <w:pPr>
        <w:pStyle w:val="Heading5"/>
        <w:spacing w:before="147"/>
        <w:ind w:left="621"/>
      </w:pPr>
      <w:r>
        <w:t>UBL ASSET ALLOCATION FUND (UAAF)</w:t>
      </w:r>
    </w:p>
    <w:p w:rsidR="00030318" w:rsidRDefault="00030318" w:rsidP="00030318">
      <w:pPr>
        <w:pStyle w:val="BodyText"/>
        <w:spacing w:before="3"/>
        <w:rPr>
          <w:b/>
        </w:rPr>
      </w:pPr>
    </w:p>
    <w:p w:rsidR="00030318" w:rsidRDefault="00030318" w:rsidP="00030318">
      <w:pPr>
        <w:pStyle w:val="BodyText"/>
        <w:ind w:left="621" w:right="966"/>
      </w:pPr>
      <w:r>
        <w:t xml:space="preserve">UBL Asset Allocation Fund (UAAF) is asset allocation scheme that offers you an opportunity to earn </w:t>
      </w:r>
      <w:r>
        <w:lastRenderedPageBreak/>
        <w:t>competitive return by investing in various asset classes based on market outlook.</w:t>
      </w:r>
    </w:p>
    <w:p w:rsidR="00030318" w:rsidRDefault="00030318" w:rsidP="00030318">
      <w:pPr>
        <w:pStyle w:val="BodyText"/>
        <w:spacing w:before="1"/>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1558"/>
        <w:gridCol w:w="872"/>
        <w:gridCol w:w="2432"/>
      </w:tblGrid>
      <w:tr w:rsidR="00030318" w:rsidTr="00030318">
        <w:trPr>
          <w:trHeight w:val="229"/>
        </w:trPr>
        <w:tc>
          <w:tcPr>
            <w:tcW w:w="3692" w:type="dxa"/>
          </w:tcPr>
          <w:p w:rsidR="00030318" w:rsidRDefault="00030318" w:rsidP="00030318">
            <w:pPr>
              <w:pStyle w:val="TableParagraph"/>
              <w:spacing w:line="210" w:lineRule="exact"/>
              <w:rPr>
                <w:sz w:val="20"/>
              </w:rPr>
            </w:pPr>
            <w:r>
              <w:rPr>
                <w:sz w:val="20"/>
              </w:rPr>
              <w:t>Date of launching</w:t>
            </w:r>
          </w:p>
        </w:tc>
        <w:tc>
          <w:tcPr>
            <w:tcW w:w="2430" w:type="dxa"/>
            <w:gridSpan w:val="2"/>
          </w:tcPr>
          <w:p w:rsidR="00030318" w:rsidRDefault="00030318" w:rsidP="00030318">
            <w:pPr>
              <w:pStyle w:val="TableParagraph"/>
              <w:spacing w:line="210" w:lineRule="exact"/>
              <w:ind w:left="104"/>
              <w:rPr>
                <w:sz w:val="20"/>
              </w:rPr>
            </w:pPr>
            <w:r>
              <w:rPr>
                <w:sz w:val="20"/>
              </w:rPr>
              <w:t>19 August 2013</w:t>
            </w:r>
          </w:p>
        </w:tc>
        <w:tc>
          <w:tcPr>
            <w:tcW w:w="2432" w:type="dxa"/>
          </w:tcPr>
          <w:p w:rsidR="00030318" w:rsidRDefault="00030318" w:rsidP="00030318">
            <w:pPr>
              <w:pStyle w:val="TableParagraph"/>
              <w:ind w:left="0"/>
              <w:rPr>
                <w:rFonts w:ascii="Times New Roman"/>
                <w:sz w:val="16"/>
              </w:rPr>
            </w:pPr>
          </w:p>
        </w:tc>
      </w:tr>
      <w:tr w:rsidR="00030318" w:rsidTr="00030318">
        <w:trPr>
          <w:trHeight w:val="231"/>
        </w:trPr>
        <w:tc>
          <w:tcPr>
            <w:tcW w:w="3692" w:type="dxa"/>
          </w:tcPr>
          <w:p w:rsidR="00030318" w:rsidRDefault="00030318" w:rsidP="00030318">
            <w:pPr>
              <w:pStyle w:val="TableParagraph"/>
              <w:spacing w:line="212" w:lineRule="exact"/>
              <w:rPr>
                <w:sz w:val="20"/>
              </w:rPr>
            </w:pPr>
            <w:r>
              <w:rPr>
                <w:sz w:val="20"/>
              </w:rPr>
              <w:t>Par Value of units</w:t>
            </w:r>
          </w:p>
        </w:tc>
        <w:tc>
          <w:tcPr>
            <w:tcW w:w="2430" w:type="dxa"/>
            <w:gridSpan w:val="2"/>
          </w:tcPr>
          <w:p w:rsidR="00030318" w:rsidRDefault="00030318" w:rsidP="00030318">
            <w:pPr>
              <w:pStyle w:val="TableParagraph"/>
              <w:spacing w:line="212"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0"/>
        </w:trPr>
        <w:tc>
          <w:tcPr>
            <w:tcW w:w="3692" w:type="dxa"/>
            <w:tcBorders>
              <w:bottom w:val="nil"/>
            </w:tcBorders>
          </w:tcPr>
          <w:p w:rsidR="00030318" w:rsidRDefault="00030318" w:rsidP="00030318">
            <w:pPr>
              <w:pStyle w:val="TableParagraph"/>
              <w:spacing w:line="201" w:lineRule="exact"/>
              <w:rPr>
                <w:sz w:val="20"/>
              </w:rPr>
            </w:pPr>
            <w:r w:rsidRPr="00C255FA">
              <w:rPr>
                <w:sz w:val="20"/>
              </w:rPr>
              <w:t>Net Assets (as at Feb 19 2019)</w:t>
            </w:r>
          </w:p>
        </w:tc>
        <w:tc>
          <w:tcPr>
            <w:tcW w:w="2430" w:type="dxa"/>
            <w:gridSpan w:val="2"/>
            <w:tcBorders>
              <w:bottom w:val="nil"/>
            </w:tcBorders>
          </w:tcPr>
          <w:p w:rsidR="00030318" w:rsidRDefault="00030318" w:rsidP="00030318">
            <w:pPr>
              <w:pStyle w:val="TableParagraph"/>
              <w:spacing w:line="201" w:lineRule="exact"/>
              <w:ind w:left="104"/>
              <w:rPr>
                <w:sz w:val="20"/>
              </w:rPr>
            </w:pPr>
            <w:r>
              <w:rPr>
                <w:sz w:val="20"/>
              </w:rPr>
              <w:t>Rs. 1,931 million</w:t>
            </w:r>
          </w:p>
        </w:tc>
        <w:tc>
          <w:tcPr>
            <w:tcW w:w="2432" w:type="dxa"/>
          </w:tcPr>
          <w:p w:rsidR="00030318" w:rsidRDefault="00030318" w:rsidP="00030318">
            <w:pPr>
              <w:pStyle w:val="TableParagraph"/>
              <w:ind w:left="0"/>
              <w:rPr>
                <w:rFonts w:ascii="Times New Roman"/>
                <w:sz w:val="18"/>
              </w:rPr>
            </w:pPr>
          </w:p>
        </w:tc>
      </w:tr>
      <w:tr w:rsidR="00030318" w:rsidTr="00030318">
        <w:trPr>
          <w:trHeight w:val="220"/>
        </w:trPr>
        <w:tc>
          <w:tcPr>
            <w:tcW w:w="3692" w:type="dxa"/>
            <w:tcBorders>
              <w:bottom w:val="nil"/>
            </w:tcBorders>
          </w:tcPr>
          <w:p w:rsidR="00030318" w:rsidRDefault="00030318" w:rsidP="00030318">
            <w:pPr>
              <w:pStyle w:val="TableParagraph"/>
              <w:spacing w:line="201" w:lineRule="exact"/>
              <w:rPr>
                <w:sz w:val="20"/>
              </w:rPr>
            </w:pPr>
            <w:r>
              <w:rPr>
                <w:sz w:val="20"/>
              </w:rPr>
              <w:t>Net Assets (as at June 30 2018)</w:t>
            </w:r>
          </w:p>
        </w:tc>
        <w:tc>
          <w:tcPr>
            <w:tcW w:w="2430" w:type="dxa"/>
            <w:gridSpan w:val="2"/>
            <w:tcBorders>
              <w:bottom w:val="nil"/>
            </w:tcBorders>
          </w:tcPr>
          <w:p w:rsidR="00030318" w:rsidRDefault="00030318" w:rsidP="00030318">
            <w:pPr>
              <w:pStyle w:val="TableParagraph"/>
              <w:spacing w:line="201" w:lineRule="exact"/>
              <w:ind w:left="104"/>
              <w:rPr>
                <w:sz w:val="20"/>
              </w:rPr>
            </w:pPr>
            <w:r>
              <w:rPr>
                <w:sz w:val="20"/>
              </w:rPr>
              <w:t>Rs. 2.2Bn</w:t>
            </w:r>
          </w:p>
        </w:tc>
        <w:tc>
          <w:tcPr>
            <w:tcW w:w="2432" w:type="dxa"/>
          </w:tcPr>
          <w:p w:rsidR="00030318" w:rsidRDefault="00030318" w:rsidP="00030318">
            <w:pPr>
              <w:pStyle w:val="TableParagraph"/>
              <w:ind w:left="0"/>
              <w:rPr>
                <w:rFonts w:ascii="Times New Roman"/>
                <w:sz w:val="18"/>
              </w:rPr>
            </w:pPr>
          </w:p>
        </w:tc>
      </w:tr>
      <w:tr w:rsidR="00030318" w:rsidTr="00030318">
        <w:trPr>
          <w:trHeight w:val="220"/>
        </w:trPr>
        <w:tc>
          <w:tcPr>
            <w:tcW w:w="3692" w:type="dxa"/>
            <w:tcBorders>
              <w:bottom w:val="nil"/>
            </w:tcBorders>
          </w:tcPr>
          <w:p w:rsidR="00030318" w:rsidRDefault="00030318" w:rsidP="00030318">
            <w:pPr>
              <w:pStyle w:val="TableParagraph"/>
              <w:spacing w:line="201" w:lineRule="exact"/>
              <w:rPr>
                <w:sz w:val="20"/>
              </w:rPr>
            </w:pPr>
            <w:r>
              <w:rPr>
                <w:sz w:val="20"/>
              </w:rPr>
              <w:t>Net Assets (as at June 30 2017)</w:t>
            </w:r>
          </w:p>
        </w:tc>
        <w:tc>
          <w:tcPr>
            <w:tcW w:w="2430" w:type="dxa"/>
            <w:gridSpan w:val="2"/>
            <w:tcBorders>
              <w:bottom w:val="nil"/>
            </w:tcBorders>
          </w:tcPr>
          <w:p w:rsidR="00030318" w:rsidRDefault="00030318" w:rsidP="00030318">
            <w:pPr>
              <w:pStyle w:val="TableParagraph"/>
              <w:spacing w:line="201" w:lineRule="exact"/>
              <w:ind w:left="104"/>
              <w:rPr>
                <w:sz w:val="20"/>
              </w:rPr>
            </w:pPr>
            <w:r>
              <w:rPr>
                <w:sz w:val="20"/>
              </w:rPr>
              <w:t xml:space="preserve">Rs. 2,635 </w:t>
            </w:r>
            <w:proofErr w:type="spellStart"/>
            <w:r>
              <w:rPr>
                <w:sz w:val="20"/>
              </w:rPr>
              <w:t>mn</w:t>
            </w:r>
            <w:proofErr w:type="spellEnd"/>
          </w:p>
        </w:tc>
        <w:tc>
          <w:tcPr>
            <w:tcW w:w="2432"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3692" w:type="dxa"/>
            <w:tcBorders>
              <w:top w:val="nil"/>
              <w:bottom w:val="nil"/>
            </w:tcBorders>
          </w:tcPr>
          <w:p w:rsidR="00030318" w:rsidRDefault="00030318" w:rsidP="00030318">
            <w:pPr>
              <w:pStyle w:val="TableParagraph"/>
              <w:spacing w:line="190" w:lineRule="exact"/>
              <w:rPr>
                <w:sz w:val="20"/>
              </w:rPr>
            </w:pPr>
            <w:r>
              <w:rPr>
                <w:sz w:val="20"/>
              </w:rPr>
              <w:t>Net Assets (as at June 30 2016)</w:t>
            </w:r>
          </w:p>
        </w:tc>
        <w:tc>
          <w:tcPr>
            <w:tcW w:w="2430" w:type="dxa"/>
            <w:gridSpan w:val="2"/>
            <w:tcBorders>
              <w:top w:val="nil"/>
              <w:bottom w:val="nil"/>
            </w:tcBorders>
          </w:tcPr>
          <w:p w:rsidR="00030318" w:rsidRDefault="00030318" w:rsidP="00030318">
            <w:pPr>
              <w:pStyle w:val="TableParagraph"/>
              <w:spacing w:line="190" w:lineRule="exact"/>
              <w:ind w:left="104"/>
              <w:rPr>
                <w:sz w:val="20"/>
              </w:rPr>
            </w:pPr>
            <w:r>
              <w:rPr>
                <w:sz w:val="20"/>
              </w:rPr>
              <w:t xml:space="preserve">Rs. 2,085 </w:t>
            </w:r>
            <w:proofErr w:type="spellStart"/>
            <w:r>
              <w:rPr>
                <w:sz w:val="20"/>
              </w:rPr>
              <w:t>mn</w:t>
            </w:r>
            <w:proofErr w:type="spellEnd"/>
          </w:p>
        </w:tc>
        <w:tc>
          <w:tcPr>
            <w:tcW w:w="2432" w:type="dxa"/>
            <w:vMerge/>
            <w:tcBorders>
              <w:top w:val="nil"/>
            </w:tcBorders>
          </w:tcPr>
          <w:p w:rsidR="00030318" w:rsidRDefault="00030318" w:rsidP="00030318">
            <w:pPr>
              <w:rPr>
                <w:sz w:val="2"/>
                <w:szCs w:val="2"/>
              </w:rPr>
            </w:pPr>
          </w:p>
        </w:tc>
      </w:tr>
      <w:tr w:rsidR="00030318" w:rsidTr="00030318">
        <w:trPr>
          <w:trHeight w:val="209"/>
        </w:trPr>
        <w:tc>
          <w:tcPr>
            <w:tcW w:w="3692" w:type="dxa"/>
            <w:tcBorders>
              <w:top w:val="nil"/>
              <w:bottom w:val="nil"/>
            </w:tcBorders>
          </w:tcPr>
          <w:p w:rsidR="00030318" w:rsidRDefault="00030318" w:rsidP="00030318">
            <w:pPr>
              <w:pStyle w:val="TableParagraph"/>
              <w:spacing w:line="189" w:lineRule="exact"/>
              <w:rPr>
                <w:sz w:val="20"/>
              </w:rPr>
            </w:pPr>
            <w:r>
              <w:rPr>
                <w:sz w:val="20"/>
              </w:rPr>
              <w:t>Net Assets (as at June 30 2015)</w:t>
            </w:r>
          </w:p>
        </w:tc>
        <w:tc>
          <w:tcPr>
            <w:tcW w:w="2430" w:type="dxa"/>
            <w:gridSpan w:val="2"/>
            <w:tcBorders>
              <w:top w:val="nil"/>
              <w:bottom w:val="nil"/>
            </w:tcBorders>
          </w:tcPr>
          <w:p w:rsidR="00030318" w:rsidRDefault="00030318" w:rsidP="00030318">
            <w:pPr>
              <w:pStyle w:val="TableParagraph"/>
              <w:spacing w:line="189" w:lineRule="exact"/>
              <w:ind w:left="104"/>
              <w:rPr>
                <w:sz w:val="20"/>
              </w:rPr>
            </w:pPr>
            <w:r>
              <w:rPr>
                <w:sz w:val="20"/>
              </w:rPr>
              <w:t xml:space="preserve">Rs. 1,000 </w:t>
            </w:r>
            <w:proofErr w:type="spellStart"/>
            <w:r>
              <w:rPr>
                <w:sz w:val="20"/>
              </w:rPr>
              <w:t>mn</w:t>
            </w:r>
            <w:proofErr w:type="spellEnd"/>
          </w:p>
        </w:tc>
        <w:tc>
          <w:tcPr>
            <w:tcW w:w="2432" w:type="dxa"/>
            <w:vMerge/>
            <w:tcBorders>
              <w:top w:val="nil"/>
            </w:tcBorders>
          </w:tcPr>
          <w:p w:rsidR="00030318" w:rsidRDefault="00030318" w:rsidP="00030318">
            <w:pPr>
              <w:rPr>
                <w:sz w:val="2"/>
                <w:szCs w:val="2"/>
              </w:rPr>
            </w:pPr>
          </w:p>
        </w:tc>
      </w:tr>
      <w:tr w:rsidR="00030318" w:rsidTr="00030318">
        <w:trPr>
          <w:trHeight w:val="218"/>
        </w:trPr>
        <w:tc>
          <w:tcPr>
            <w:tcW w:w="3692" w:type="dxa"/>
            <w:tcBorders>
              <w:top w:val="nil"/>
            </w:tcBorders>
          </w:tcPr>
          <w:p w:rsidR="00030318" w:rsidRDefault="00030318" w:rsidP="00030318">
            <w:pPr>
              <w:pStyle w:val="TableParagraph"/>
              <w:spacing w:line="198" w:lineRule="exact"/>
              <w:rPr>
                <w:sz w:val="20"/>
              </w:rPr>
            </w:pPr>
            <w:r>
              <w:rPr>
                <w:sz w:val="20"/>
              </w:rPr>
              <w:t>Net Assets (as at June 30 2014)</w:t>
            </w:r>
          </w:p>
        </w:tc>
        <w:tc>
          <w:tcPr>
            <w:tcW w:w="2430" w:type="dxa"/>
            <w:gridSpan w:val="2"/>
            <w:tcBorders>
              <w:top w:val="nil"/>
            </w:tcBorders>
          </w:tcPr>
          <w:p w:rsidR="00030318" w:rsidRDefault="00030318" w:rsidP="00030318">
            <w:pPr>
              <w:pStyle w:val="TableParagraph"/>
              <w:spacing w:line="198" w:lineRule="exact"/>
              <w:ind w:left="104"/>
              <w:rPr>
                <w:sz w:val="20"/>
              </w:rPr>
            </w:pPr>
            <w:r>
              <w:rPr>
                <w:sz w:val="20"/>
              </w:rPr>
              <w:t xml:space="preserve">Rs. 1,088 </w:t>
            </w:r>
            <w:proofErr w:type="spellStart"/>
            <w:r>
              <w:rPr>
                <w:sz w:val="20"/>
              </w:rPr>
              <w:t>mn</w:t>
            </w:r>
            <w:proofErr w:type="spellEnd"/>
          </w:p>
        </w:tc>
        <w:tc>
          <w:tcPr>
            <w:tcW w:w="2432" w:type="dxa"/>
            <w:vMerge/>
            <w:tcBorders>
              <w:top w:val="nil"/>
            </w:tcBorders>
          </w:tcPr>
          <w:p w:rsidR="00030318" w:rsidRDefault="00030318" w:rsidP="00030318">
            <w:pPr>
              <w:rPr>
                <w:sz w:val="2"/>
                <w:szCs w:val="2"/>
              </w:rPr>
            </w:pPr>
          </w:p>
        </w:tc>
      </w:tr>
      <w:tr w:rsidR="00030318" w:rsidTr="00030318">
        <w:trPr>
          <w:trHeight w:val="450"/>
        </w:trPr>
        <w:tc>
          <w:tcPr>
            <w:tcW w:w="3692" w:type="dxa"/>
            <w:tcBorders>
              <w:bottom w:val="nil"/>
            </w:tcBorders>
          </w:tcPr>
          <w:p w:rsidR="00030318" w:rsidRDefault="00030318" w:rsidP="00030318">
            <w:pPr>
              <w:pStyle w:val="TableParagraph"/>
              <w:spacing w:before="8"/>
              <w:ind w:left="0"/>
              <w:rPr>
                <w:sz w:val="19"/>
              </w:rPr>
            </w:pPr>
            <w:r>
              <w:rPr>
                <w:sz w:val="19"/>
              </w:rPr>
              <w:t xml:space="preserve">  </w:t>
            </w:r>
            <w:r w:rsidRPr="00C255FA">
              <w:rPr>
                <w:sz w:val="19"/>
              </w:rPr>
              <w:t>NAV (as at Feb 19, 2019)</w:t>
            </w:r>
          </w:p>
          <w:p w:rsidR="00030318" w:rsidRDefault="00030318" w:rsidP="00030318">
            <w:pPr>
              <w:pStyle w:val="TableParagraph"/>
              <w:spacing w:line="204" w:lineRule="exact"/>
              <w:rPr>
                <w:sz w:val="20"/>
              </w:rPr>
            </w:pPr>
            <w:r>
              <w:rPr>
                <w:sz w:val="20"/>
              </w:rPr>
              <w:t>NAV (as at June 30 2017)</w:t>
            </w:r>
          </w:p>
        </w:tc>
        <w:tc>
          <w:tcPr>
            <w:tcW w:w="2430" w:type="dxa"/>
            <w:gridSpan w:val="2"/>
            <w:tcBorders>
              <w:bottom w:val="nil"/>
            </w:tcBorders>
          </w:tcPr>
          <w:p w:rsidR="00030318" w:rsidRDefault="00030318" w:rsidP="00030318">
            <w:pPr>
              <w:pStyle w:val="TableParagraph"/>
              <w:spacing w:before="8"/>
              <w:ind w:left="0"/>
              <w:rPr>
                <w:sz w:val="19"/>
              </w:rPr>
            </w:pPr>
            <w:r>
              <w:rPr>
                <w:sz w:val="19"/>
              </w:rPr>
              <w:t xml:space="preserve">  Rs. </w:t>
            </w:r>
            <w:r w:rsidRPr="00C255FA">
              <w:rPr>
                <w:sz w:val="19"/>
              </w:rPr>
              <w:t>138.4318</w:t>
            </w:r>
          </w:p>
          <w:p w:rsidR="00030318" w:rsidRDefault="00030318" w:rsidP="00030318">
            <w:pPr>
              <w:pStyle w:val="TableParagraph"/>
              <w:spacing w:line="204" w:lineRule="exact"/>
              <w:ind w:left="104"/>
              <w:rPr>
                <w:sz w:val="20"/>
              </w:rPr>
            </w:pPr>
            <w:r>
              <w:rPr>
                <w:sz w:val="20"/>
              </w:rPr>
              <w:t>Rs. 134.7754</w:t>
            </w:r>
          </w:p>
        </w:tc>
        <w:tc>
          <w:tcPr>
            <w:tcW w:w="2432"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3692" w:type="dxa"/>
            <w:tcBorders>
              <w:top w:val="nil"/>
              <w:bottom w:val="nil"/>
            </w:tcBorders>
          </w:tcPr>
          <w:p w:rsidR="00030318" w:rsidRDefault="00030318" w:rsidP="00030318">
            <w:pPr>
              <w:pStyle w:val="TableParagraph"/>
              <w:spacing w:line="191" w:lineRule="exact"/>
              <w:rPr>
                <w:sz w:val="20"/>
              </w:rPr>
            </w:pPr>
            <w:r>
              <w:rPr>
                <w:sz w:val="20"/>
              </w:rPr>
              <w:t>NAV (as at June 30 2016)</w:t>
            </w:r>
          </w:p>
        </w:tc>
        <w:tc>
          <w:tcPr>
            <w:tcW w:w="2430" w:type="dxa"/>
            <w:gridSpan w:val="2"/>
            <w:tcBorders>
              <w:top w:val="nil"/>
              <w:bottom w:val="nil"/>
            </w:tcBorders>
          </w:tcPr>
          <w:p w:rsidR="00030318" w:rsidRDefault="00030318" w:rsidP="00030318">
            <w:pPr>
              <w:pStyle w:val="TableParagraph"/>
              <w:spacing w:line="191" w:lineRule="exact"/>
              <w:ind w:left="104"/>
              <w:rPr>
                <w:sz w:val="20"/>
              </w:rPr>
            </w:pPr>
            <w:r>
              <w:rPr>
                <w:sz w:val="20"/>
              </w:rPr>
              <w:t>Rs. 124.09</w:t>
            </w:r>
          </w:p>
        </w:tc>
        <w:tc>
          <w:tcPr>
            <w:tcW w:w="2432" w:type="dxa"/>
            <w:vMerge/>
            <w:tcBorders>
              <w:top w:val="nil"/>
            </w:tcBorders>
          </w:tcPr>
          <w:p w:rsidR="00030318" w:rsidRDefault="00030318" w:rsidP="00030318">
            <w:pPr>
              <w:rPr>
                <w:sz w:val="2"/>
                <w:szCs w:val="2"/>
              </w:rPr>
            </w:pPr>
          </w:p>
        </w:tc>
      </w:tr>
      <w:tr w:rsidR="00030318" w:rsidTr="00030318">
        <w:trPr>
          <w:trHeight w:val="210"/>
        </w:trPr>
        <w:tc>
          <w:tcPr>
            <w:tcW w:w="3692" w:type="dxa"/>
            <w:tcBorders>
              <w:top w:val="nil"/>
              <w:bottom w:val="nil"/>
            </w:tcBorders>
          </w:tcPr>
          <w:p w:rsidR="00030318" w:rsidRDefault="00030318" w:rsidP="00030318">
            <w:pPr>
              <w:pStyle w:val="TableParagraph"/>
              <w:spacing w:line="191" w:lineRule="exact"/>
              <w:rPr>
                <w:sz w:val="20"/>
              </w:rPr>
            </w:pPr>
            <w:r>
              <w:rPr>
                <w:sz w:val="20"/>
              </w:rPr>
              <w:t>NAV (as at June 30 2015)</w:t>
            </w:r>
          </w:p>
        </w:tc>
        <w:tc>
          <w:tcPr>
            <w:tcW w:w="2430" w:type="dxa"/>
            <w:gridSpan w:val="2"/>
            <w:tcBorders>
              <w:top w:val="nil"/>
              <w:bottom w:val="nil"/>
            </w:tcBorders>
          </w:tcPr>
          <w:p w:rsidR="00030318" w:rsidRDefault="00030318" w:rsidP="00030318">
            <w:pPr>
              <w:pStyle w:val="TableParagraph"/>
              <w:spacing w:line="191" w:lineRule="exact"/>
              <w:ind w:left="104"/>
              <w:rPr>
                <w:sz w:val="20"/>
              </w:rPr>
            </w:pPr>
            <w:r>
              <w:rPr>
                <w:sz w:val="20"/>
              </w:rPr>
              <w:t>Rs. 116.537</w:t>
            </w:r>
          </w:p>
        </w:tc>
        <w:tc>
          <w:tcPr>
            <w:tcW w:w="2432" w:type="dxa"/>
            <w:vMerge/>
            <w:tcBorders>
              <w:top w:val="nil"/>
            </w:tcBorders>
          </w:tcPr>
          <w:p w:rsidR="00030318" w:rsidRDefault="00030318" w:rsidP="00030318">
            <w:pPr>
              <w:rPr>
                <w:sz w:val="2"/>
                <w:szCs w:val="2"/>
              </w:rPr>
            </w:pPr>
          </w:p>
        </w:tc>
      </w:tr>
      <w:tr w:rsidR="00030318" w:rsidTr="00030318">
        <w:trPr>
          <w:trHeight w:val="447"/>
        </w:trPr>
        <w:tc>
          <w:tcPr>
            <w:tcW w:w="3692" w:type="dxa"/>
            <w:tcBorders>
              <w:top w:val="nil"/>
            </w:tcBorders>
          </w:tcPr>
          <w:p w:rsidR="00030318" w:rsidRDefault="00030318" w:rsidP="00030318">
            <w:pPr>
              <w:pStyle w:val="TableParagraph"/>
              <w:spacing w:line="217" w:lineRule="exact"/>
              <w:rPr>
                <w:sz w:val="20"/>
              </w:rPr>
            </w:pPr>
            <w:r>
              <w:rPr>
                <w:sz w:val="20"/>
              </w:rPr>
              <w:t>NAV (as at June 30 2014)</w:t>
            </w:r>
          </w:p>
        </w:tc>
        <w:tc>
          <w:tcPr>
            <w:tcW w:w="2430" w:type="dxa"/>
            <w:gridSpan w:val="2"/>
            <w:tcBorders>
              <w:top w:val="nil"/>
            </w:tcBorders>
          </w:tcPr>
          <w:p w:rsidR="00030318" w:rsidRDefault="00030318" w:rsidP="00030318">
            <w:pPr>
              <w:pStyle w:val="TableParagraph"/>
              <w:spacing w:line="217" w:lineRule="exact"/>
              <w:ind w:left="104"/>
              <w:rPr>
                <w:sz w:val="20"/>
              </w:rPr>
            </w:pPr>
            <w:r>
              <w:rPr>
                <w:sz w:val="20"/>
              </w:rPr>
              <w:t>Rs. 104.90</w:t>
            </w:r>
          </w:p>
        </w:tc>
        <w:tc>
          <w:tcPr>
            <w:tcW w:w="2432" w:type="dxa"/>
            <w:vMerge/>
            <w:tcBorders>
              <w:top w:val="nil"/>
            </w:tcBorders>
          </w:tcPr>
          <w:p w:rsidR="00030318" w:rsidRDefault="00030318" w:rsidP="00030318">
            <w:pPr>
              <w:rPr>
                <w:sz w:val="2"/>
                <w:szCs w:val="2"/>
              </w:rPr>
            </w:pPr>
          </w:p>
        </w:tc>
      </w:tr>
      <w:tr w:rsidR="00030318" w:rsidTr="00030318">
        <w:trPr>
          <w:trHeight w:val="690"/>
        </w:trPr>
        <w:tc>
          <w:tcPr>
            <w:tcW w:w="3692" w:type="dxa"/>
          </w:tcPr>
          <w:p w:rsidR="00030318" w:rsidRDefault="00030318" w:rsidP="00030318">
            <w:pPr>
              <w:pStyle w:val="TableParagraph"/>
              <w:spacing w:before="11"/>
              <w:ind w:left="0"/>
              <w:rPr>
                <w:sz w:val="19"/>
              </w:rPr>
            </w:pPr>
          </w:p>
          <w:p w:rsidR="00030318" w:rsidRDefault="00030318" w:rsidP="00030318">
            <w:pPr>
              <w:pStyle w:val="TableParagraph"/>
              <w:rPr>
                <w:sz w:val="20"/>
              </w:rPr>
            </w:pPr>
            <w:r>
              <w:rPr>
                <w:sz w:val="20"/>
              </w:rPr>
              <w:t>Listing</w:t>
            </w:r>
          </w:p>
        </w:tc>
        <w:tc>
          <w:tcPr>
            <w:tcW w:w="1558" w:type="dxa"/>
            <w:tcBorders>
              <w:right w:val="nil"/>
            </w:tcBorders>
          </w:tcPr>
          <w:p w:rsidR="00030318" w:rsidRDefault="00030318" w:rsidP="00030318">
            <w:pPr>
              <w:pStyle w:val="TableParagraph"/>
              <w:ind w:left="104"/>
              <w:rPr>
                <w:sz w:val="20"/>
              </w:rPr>
            </w:pPr>
            <w:r>
              <w:rPr>
                <w:sz w:val="20"/>
              </w:rPr>
              <w:t xml:space="preserve">Pakistan </w:t>
            </w:r>
            <w:r>
              <w:rPr>
                <w:w w:val="95"/>
                <w:sz w:val="20"/>
              </w:rPr>
              <w:t>Exchange</w:t>
            </w:r>
          </w:p>
        </w:tc>
        <w:tc>
          <w:tcPr>
            <w:tcW w:w="872" w:type="dxa"/>
            <w:tcBorders>
              <w:left w:val="nil"/>
            </w:tcBorders>
          </w:tcPr>
          <w:p w:rsidR="00030318" w:rsidRDefault="00030318" w:rsidP="00030318">
            <w:pPr>
              <w:pStyle w:val="TableParagraph"/>
              <w:spacing w:line="229" w:lineRule="exact"/>
              <w:ind w:left="270"/>
              <w:rPr>
                <w:sz w:val="20"/>
              </w:rPr>
            </w:pPr>
            <w:r>
              <w:rPr>
                <w:sz w:val="20"/>
              </w:rPr>
              <w:t>Stock</w:t>
            </w:r>
          </w:p>
        </w:tc>
        <w:tc>
          <w:tcPr>
            <w:tcW w:w="2432" w:type="dxa"/>
          </w:tcPr>
          <w:p w:rsidR="00030318" w:rsidRDefault="00030318" w:rsidP="00030318">
            <w:pPr>
              <w:pStyle w:val="TableParagraph"/>
              <w:ind w:left="0"/>
              <w:rPr>
                <w:rFonts w:ascii="Times New Roman"/>
                <w:sz w:val="18"/>
              </w:rPr>
            </w:pPr>
          </w:p>
        </w:tc>
      </w:tr>
      <w:tr w:rsidR="00030318" w:rsidTr="00030318">
        <w:trPr>
          <w:trHeight w:val="460"/>
        </w:trPr>
        <w:tc>
          <w:tcPr>
            <w:tcW w:w="3692" w:type="dxa"/>
          </w:tcPr>
          <w:p w:rsidR="00030318" w:rsidRDefault="00030318" w:rsidP="00030318">
            <w:pPr>
              <w:pStyle w:val="TableParagraph"/>
              <w:spacing w:line="228" w:lineRule="exact"/>
              <w:rPr>
                <w:sz w:val="20"/>
              </w:rPr>
            </w:pPr>
            <w:r>
              <w:rPr>
                <w:sz w:val="20"/>
              </w:rPr>
              <w:t>Fund Rating:</w:t>
            </w:r>
          </w:p>
          <w:p w:rsidR="00030318" w:rsidRDefault="00030318" w:rsidP="00030318">
            <w:pPr>
              <w:pStyle w:val="TableParagraph"/>
              <w:spacing w:line="212" w:lineRule="exact"/>
              <w:rPr>
                <w:sz w:val="20"/>
              </w:rPr>
            </w:pPr>
            <w:r>
              <w:rPr>
                <w:sz w:val="20"/>
              </w:rPr>
              <w:t>(Credit Rating Agency: JCR-VIS)</w:t>
            </w:r>
          </w:p>
        </w:tc>
        <w:tc>
          <w:tcPr>
            <w:tcW w:w="2430" w:type="dxa"/>
            <w:gridSpan w:val="2"/>
          </w:tcPr>
          <w:p w:rsidR="00030318" w:rsidRDefault="00030318" w:rsidP="00030318">
            <w:pPr>
              <w:pStyle w:val="TableParagraph"/>
              <w:spacing w:before="114"/>
              <w:ind w:left="104"/>
              <w:rPr>
                <w:sz w:val="20"/>
              </w:rPr>
            </w:pPr>
            <w:r>
              <w:rPr>
                <w:sz w:val="20"/>
              </w:rPr>
              <w:t>Not yet Rated</w:t>
            </w:r>
          </w:p>
        </w:tc>
        <w:tc>
          <w:tcPr>
            <w:tcW w:w="2432" w:type="dxa"/>
          </w:tcPr>
          <w:p w:rsidR="00030318" w:rsidRDefault="00030318" w:rsidP="00030318">
            <w:pPr>
              <w:pStyle w:val="TableParagraph"/>
              <w:ind w:left="0"/>
              <w:rPr>
                <w:rFonts w:ascii="Times New Roman"/>
                <w:sz w:val="18"/>
              </w:rPr>
            </w:pPr>
          </w:p>
        </w:tc>
      </w:tr>
      <w:tr w:rsidR="00030318" w:rsidTr="00030318">
        <w:trPr>
          <w:trHeight w:val="229"/>
        </w:trPr>
        <w:tc>
          <w:tcPr>
            <w:tcW w:w="3692" w:type="dxa"/>
          </w:tcPr>
          <w:p w:rsidR="00030318" w:rsidRDefault="00030318" w:rsidP="00030318">
            <w:pPr>
              <w:pStyle w:val="TableParagraph"/>
              <w:spacing w:line="210" w:lineRule="exact"/>
              <w:rPr>
                <w:sz w:val="20"/>
              </w:rPr>
            </w:pPr>
            <w:r>
              <w:rPr>
                <w:sz w:val="20"/>
              </w:rPr>
              <w:t>Performance:</w:t>
            </w:r>
          </w:p>
        </w:tc>
        <w:tc>
          <w:tcPr>
            <w:tcW w:w="2430" w:type="dxa"/>
            <w:gridSpan w:val="2"/>
          </w:tcPr>
          <w:p w:rsidR="00030318" w:rsidRDefault="00030318" w:rsidP="00030318">
            <w:pPr>
              <w:pStyle w:val="TableParagraph"/>
              <w:spacing w:line="210" w:lineRule="exact"/>
              <w:ind w:left="104"/>
              <w:rPr>
                <w:sz w:val="20"/>
              </w:rPr>
            </w:pPr>
            <w:r>
              <w:rPr>
                <w:sz w:val="20"/>
              </w:rPr>
              <w:t>Return</w:t>
            </w:r>
          </w:p>
        </w:tc>
        <w:tc>
          <w:tcPr>
            <w:tcW w:w="2432" w:type="dxa"/>
          </w:tcPr>
          <w:p w:rsidR="00030318" w:rsidRDefault="00030318" w:rsidP="00030318">
            <w:pPr>
              <w:pStyle w:val="TableParagraph"/>
              <w:spacing w:line="210" w:lineRule="exact"/>
              <w:ind w:left="106"/>
              <w:rPr>
                <w:sz w:val="20"/>
              </w:rPr>
            </w:pPr>
            <w:r>
              <w:rPr>
                <w:sz w:val="20"/>
              </w:rPr>
              <w:t>Payout</w:t>
            </w:r>
          </w:p>
        </w:tc>
      </w:tr>
      <w:tr w:rsidR="00030318" w:rsidTr="00030318">
        <w:trPr>
          <w:trHeight w:val="1151"/>
        </w:trPr>
        <w:tc>
          <w:tcPr>
            <w:tcW w:w="3692" w:type="dxa"/>
          </w:tcPr>
          <w:p w:rsidR="00030318" w:rsidRDefault="00030318" w:rsidP="00030318">
            <w:pPr>
              <w:pStyle w:val="TableParagraph"/>
              <w:spacing w:before="114" w:line="229" w:lineRule="exact"/>
              <w:rPr>
                <w:sz w:val="20"/>
              </w:rPr>
            </w:pPr>
            <w:r>
              <w:rPr>
                <w:sz w:val="20"/>
              </w:rPr>
              <w:t>Year ended June 30 2017</w:t>
            </w:r>
          </w:p>
          <w:p w:rsidR="00030318" w:rsidRDefault="00030318" w:rsidP="00030318">
            <w:pPr>
              <w:pStyle w:val="TableParagraph"/>
              <w:spacing w:line="229" w:lineRule="exact"/>
              <w:rPr>
                <w:sz w:val="20"/>
              </w:rPr>
            </w:pPr>
            <w:r>
              <w:rPr>
                <w:sz w:val="20"/>
              </w:rPr>
              <w:t>Year ended June 30 2016</w:t>
            </w:r>
          </w:p>
          <w:p w:rsidR="00030318" w:rsidRDefault="00030318" w:rsidP="00030318">
            <w:pPr>
              <w:pStyle w:val="TableParagraph"/>
              <w:spacing w:before="1"/>
              <w:rPr>
                <w:sz w:val="20"/>
              </w:rPr>
            </w:pPr>
            <w:r>
              <w:rPr>
                <w:sz w:val="20"/>
              </w:rPr>
              <w:t>Year ended June 30 2015</w:t>
            </w:r>
          </w:p>
        </w:tc>
        <w:tc>
          <w:tcPr>
            <w:tcW w:w="2430" w:type="dxa"/>
            <w:gridSpan w:val="2"/>
          </w:tcPr>
          <w:p w:rsidR="00030318" w:rsidRDefault="00030318" w:rsidP="00030318">
            <w:pPr>
              <w:pStyle w:val="TableParagraph"/>
              <w:spacing w:before="114" w:line="229" w:lineRule="exact"/>
              <w:ind w:left="104"/>
              <w:rPr>
                <w:sz w:val="20"/>
              </w:rPr>
            </w:pPr>
            <w:r>
              <w:rPr>
                <w:sz w:val="20"/>
              </w:rPr>
              <w:t>14.51%</w:t>
            </w:r>
          </w:p>
          <w:p w:rsidR="00030318" w:rsidRDefault="00030318" w:rsidP="00030318">
            <w:pPr>
              <w:pStyle w:val="TableParagraph"/>
              <w:spacing w:line="229" w:lineRule="exact"/>
              <w:ind w:left="104"/>
              <w:rPr>
                <w:sz w:val="20"/>
              </w:rPr>
            </w:pPr>
            <w:r>
              <w:rPr>
                <w:sz w:val="20"/>
              </w:rPr>
              <w:t>12.31%</w:t>
            </w:r>
          </w:p>
          <w:p w:rsidR="00030318" w:rsidRDefault="00030318" w:rsidP="00030318">
            <w:pPr>
              <w:pStyle w:val="TableParagraph"/>
              <w:spacing w:before="1"/>
              <w:ind w:left="104"/>
              <w:rPr>
                <w:sz w:val="20"/>
              </w:rPr>
            </w:pPr>
            <w:r>
              <w:rPr>
                <w:sz w:val="20"/>
              </w:rPr>
              <w:t>22.7%</w:t>
            </w:r>
          </w:p>
        </w:tc>
        <w:tc>
          <w:tcPr>
            <w:tcW w:w="2432" w:type="dxa"/>
          </w:tcPr>
          <w:p w:rsidR="00030318" w:rsidRDefault="00030318" w:rsidP="00030318">
            <w:pPr>
              <w:pStyle w:val="TableParagraph"/>
              <w:ind w:left="106" w:right="727"/>
              <w:jc w:val="both"/>
              <w:rPr>
                <w:sz w:val="20"/>
              </w:rPr>
            </w:pPr>
            <w:r>
              <w:rPr>
                <w:sz w:val="20"/>
              </w:rPr>
              <w:t>Rs. 7.34 per unit Rs. 6.75 per unit Rs. 12.17 per unit</w:t>
            </w:r>
          </w:p>
        </w:tc>
      </w:tr>
    </w:tbl>
    <w:p w:rsidR="00030318" w:rsidRDefault="00030318" w:rsidP="00030318">
      <w:pPr>
        <w:pStyle w:val="BodyText"/>
        <w:rPr>
          <w:sz w:val="22"/>
        </w:rPr>
      </w:pPr>
    </w:p>
    <w:p w:rsidR="00030318" w:rsidRDefault="00030318" w:rsidP="00030318">
      <w:pPr>
        <w:pStyle w:val="BodyText"/>
        <w:spacing w:before="7"/>
        <w:rPr>
          <w:sz w:val="17"/>
        </w:rPr>
      </w:pPr>
    </w:p>
    <w:p w:rsidR="00030318" w:rsidRDefault="00030318" w:rsidP="00030318">
      <w:pPr>
        <w:pStyle w:val="Heading5"/>
        <w:ind w:left="621"/>
      </w:pPr>
      <w:r>
        <w:t>AL-AMEEN ISLAMIC ASSET ALLOCATION FUND (AIAAF)</w:t>
      </w:r>
    </w:p>
    <w:p w:rsidR="00030318" w:rsidRDefault="00030318" w:rsidP="00030318">
      <w:pPr>
        <w:ind w:left="621"/>
        <w:rPr>
          <w:b/>
          <w:sz w:val="20"/>
        </w:rPr>
      </w:pPr>
      <w:r>
        <w:rPr>
          <w:b/>
          <w:sz w:val="20"/>
        </w:rPr>
        <w:t>(formerly UBL Islamic Asset Allocation Fund)</w:t>
      </w:r>
    </w:p>
    <w:p w:rsidR="00030318" w:rsidRDefault="00030318" w:rsidP="00030318">
      <w:pPr>
        <w:pStyle w:val="BodyText"/>
        <w:spacing w:before="4"/>
        <w:rPr>
          <w:b/>
          <w:sz w:val="14"/>
        </w:rPr>
      </w:pPr>
    </w:p>
    <w:p w:rsidR="00030318" w:rsidRDefault="00030318" w:rsidP="00030318">
      <w:pPr>
        <w:pStyle w:val="BodyText"/>
        <w:spacing w:line="20" w:lineRule="exact"/>
        <w:ind w:left="727"/>
        <w:rPr>
          <w:sz w:val="2"/>
        </w:rPr>
      </w:pPr>
      <w:r>
        <w:rPr>
          <w:rFonts w:ascii="Times New Roman"/>
          <w:spacing w:val="5"/>
          <w:sz w:val="2"/>
        </w:rPr>
        <w:t xml:space="preserve"> </w:t>
      </w:r>
    </w:p>
    <w:p w:rsidR="00030318" w:rsidRDefault="00030318" w:rsidP="00030318">
      <w:pPr>
        <w:pStyle w:val="BodyText"/>
        <w:ind w:left="621" w:right="916"/>
        <w:jc w:val="both"/>
      </w:pPr>
      <w:r>
        <w:t>Al-Ameen Islamic Asset Allocation Fund (AIAAF) is a shariah compliant asset allocation scheme that offers you an opportunity to earn competitive return by investing in various shariah compliant asset classes based on market outlook</w:t>
      </w:r>
    </w:p>
    <w:p w:rsidR="00030318" w:rsidRDefault="00030318" w:rsidP="00030318">
      <w:pPr>
        <w:pStyle w:val="BodyText"/>
        <w:spacing w:before="2"/>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5"/>
        <w:gridCol w:w="112"/>
        <w:gridCol w:w="223"/>
        <w:gridCol w:w="232"/>
        <w:gridCol w:w="222"/>
        <w:gridCol w:w="1245"/>
        <w:gridCol w:w="1213"/>
        <w:gridCol w:w="1332"/>
        <w:gridCol w:w="1097"/>
        <w:gridCol w:w="2432"/>
      </w:tblGrid>
      <w:tr w:rsidR="00030318" w:rsidTr="00030318">
        <w:trPr>
          <w:trHeight w:val="229"/>
        </w:trPr>
        <w:tc>
          <w:tcPr>
            <w:tcW w:w="557" w:type="dxa"/>
            <w:gridSpan w:val="2"/>
            <w:tcBorders>
              <w:right w:val="nil"/>
            </w:tcBorders>
          </w:tcPr>
          <w:p w:rsidR="00030318" w:rsidRDefault="00030318" w:rsidP="00030318">
            <w:pPr>
              <w:pStyle w:val="TableParagraph"/>
              <w:spacing w:line="210" w:lineRule="exact"/>
              <w:rPr>
                <w:sz w:val="20"/>
              </w:rPr>
            </w:pPr>
            <w:r>
              <w:rPr>
                <w:sz w:val="20"/>
              </w:rPr>
              <w:t>Date</w:t>
            </w:r>
          </w:p>
        </w:tc>
        <w:tc>
          <w:tcPr>
            <w:tcW w:w="223" w:type="dxa"/>
            <w:tcBorders>
              <w:left w:val="nil"/>
              <w:right w:val="nil"/>
            </w:tcBorders>
          </w:tcPr>
          <w:p w:rsidR="00030318" w:rsidRDefault="00030318" w:rsidP="00030318">
            <w:pPr>
              <w:pStyle w:val="TableParagraph"/>
              <w:spacing w:line="210" w:lineRule="exact"/>
              <w:ind w:left="37"/>
              <w:rPr>
                <w:sz w:val="20"/>
              </w:rPr>
            </w:pPr>
            <w:r>
              <w:rPr>
                <w:sz w:val="20"/>
              </w:rPr>
              <w:t>of</w:t>
            </w:r>
          </w:p>
        </w:tc>
        <w:tc>
          <w:tcPr>
            <w:tcW w:w="2912" w:type="dxa"/>
            <w:gridSpan w:val="4"/>
            <w:tcBorders>
              <w:left w:val="nil"/>
            </w:tcBorders>
          </w:tcPr>
          <w:p w:rsidR="00030318" w:rsidRDefault="00030318" w:rsidP="00030318">
            <w:pPr>
              <w:pStyle w:val="TableParagraph"/>
              <w:spacing w:line="210" w:lineRule="exact"/>
              <w:ind w:left="37"/>
              <w:rPr>
                <w:sz w:val="20"/>
              </w:rPr>
            </w:pPr>
            <w:r>
              <w:rPr>
                <w:sz w:val="20"/>
              </w:rPr>
              <w:t>Launching</w:t>
            </w:r>
          </w:p>
        </w:tc>
        <w:tc>
          <w:tcPr>
            <w:tcW w:w="1332" w:type="dxa"/>
            <w:tcBorders>
              <w:right w:val="nil"/>
            </w:tcBorders>
          </w:tcPr>
          <w:p w:rsidR="00030318" w:rsidRDefault="00030318" w:rsidP="00030318">
            <w:pPr>
              <w:pStyle w:val="TableParagraph"/>
              <w:spacing w:line="210" w:lineRule="exact"/>
              <w:ind w:left="104"/>
              <w:rPr>
                <w:sz w:val="20"/>
              </w:rPr>
            </w:pPr>
            <w:r>
              <w:rPr>
                <w:sz w:val="20"/>
              </w:rPr>
              <w:t>10 December</w:t>
            </w:r>
          </w:p>
        </w:tc>
        <w:tc>
          <w:tcPr>
            <w:tcW w:w="1097" w:type="dxa"/>
            <w:tcBorders>
              <w:left w:val="nil"/>
            </w:tcBorders>
          </w:tcPr>
          <w:p w:rsidR="00030318" w:rsidRDefault="00030318" w:rsidP="00030318">
            <w:pPr>
              <w:pStyle w:val="TableParagraph"/>
              <w:spacing w:line="210" w:lineRule="exact"/>
              <w:ind w:left="37"/>
              <w:rPr>
                <w:sz w:val="20"/>
              </w:rPr>
            </w:pPr>
            <w:r>
              <w:rPr>
                <w:sz w:val="20"/>
              </w:rPr>
              <w:t>2013</w:t>
            </w:r>
          </w:p>
        </w:tc>
        <w:tc>
          <w:tcPr>
            <w:tcW w:w="2432" w:type="dxa"/>
          </w:tcPr>
          <w:p w:rsidR="00030318" w:rsidRDefault="00030318" w:rsidP="00030318">
            <w:pPr>
              <w:pStyle w:val="TableParagraph"/>
              <w:ind w:left="0"/>
              <w:rPr>
                <w:rFonts w:ascii="Times New Roman"/>
                <w:sz w:val="16"/>
              </w:rPr>
            </w:pPr>
          </w:p>
        </w:tc>
      </w:tr>
      <w:tr w:rsidR="00030318" w:rsidTr="00030318">
        <w:trPr>
          <w:trHeight w:val="232"/>
        </w:trPr>
        <w:tc>
          <w:tcPr>
            <w:tcW w:w="445" w:type="dxa"/>
            <w:tcBorders>
              <w:right w:val="nil"/>
            </w:tcBorders>
          </w:tcPr>
          <w:p w:rsidR="00030318" w:rsidRDefault="00030318" w:rsidP="00030318">
            <w:pPr>
              <w:pStyle w:val="TableParagraph"/>
              <w:spacing w:line="212" w:lineRule="exact"/>
              <w:rPr>
                <w:sz w:val="20"/>
              </w:rPr>
            </w:pPr>
            <w:r>
              <w:rPr>
                <w:sz w:val="20"/>
              </w:rPr>
              <w:t>Par</w:t>
            </w:r>
          </w:p>
        </w:tc>
        <w:tc>
          <w:tcPr>
            <w:tcW w:w="567" w:type="dxa"/>
            <w:gridSpan w:val="3"/>
            <w:tcBorders>
              <w:left w:val="nil"/>
              <w:right w:val="nil"/>
            </w:tcBorders>
          </w:tcPr>
          <w:p w:rsidR="00030318" w:rsidRDefault="00030318" w:rsidP="00030318">
            <w:pPr>
              <w:pStyle w:val="TableParagraph"/>
              <w:spacing w:line="212" w:lineRule="exact"/>
              <w:ind w:left="37"/>
              <w:rPr>
                <w:sz w:val="20"/>
              </w:rPr>
            </w:pPr>
            <w:r>
              <w:rPr>
                <w:sz w:val="20"/>
              </w:rPr>
              <w:t>Value</w:t>
            </w:r>
          </w:p>
        </w:tc>
        <w:tc>
          <w:tcPr>
            <w:tcW w:w="222" w:type="dxa"/>
            <w:tcBorders>
              <w:left w:val="nil"/>
              <w:right w:val="nil"/>
            </w:tcBorders>
          </w:tcPr>
          <w:p w:rsidR="00030318" w:rsidRDefault="00030318" w:rsidP="00030318">
            <w:pPr>
              <w:pStyle w:val="TableParagraph"/>
              <w:spacing w:line="212" w:lineRule="exact"/>
              <w:ind w:left="36"/>
              <w:rPr>
                <w:sz w:val="20"/>
              </w:rPr>
            </w:pPr>
            <w:r>
              <w:rPr>
                <w:sz w:val="20"/>
              </w:rPr>
              <w:t>of</w:t>
            </w:r>
          </w:p>
        </w:tc>
        <w:tc>
          <w:tcPr>
            <w:tcW w:w="2458" w:type="dxa"/>
            <w:gridSpan w:val="2"/>
            <w:tcBorders>
              <w:left w:val="nil"/>
            </w:tcBorders>
          </w:tcPr>
          <w:p w:rsidR="00030318" w:rsidRDefault="00030318" w:rsidP="00030318">
            <w:pPr>
              <w:pStyle w:val="TableParagraph"/>
              <w:spacing w:line="212" w:lineRule="exact"/>
              <w:ind w:left="37"/>
              <w:rPr>
                <w:sz w:val="20"/>
              </w:rPr>
            </w:pPr>
            <w:r>
              <w:rPr>
                <w:sz w:val="20"/>
              </w:rPr>
              <w:t>Units</w:t>
            </w:r>
          </w:p>
        </w:tc>
        <w:tc>
          <w:tcPr>
            <w:tcW w:w="2429" w:type="dxa"/>
            <w:gridSpan w:val="2"/>
          </w:tcPr>
          <w:p w:rsidR="00030318" w:rsidRDefault="00030318" w:rsidP="00030318">
            <w:pPr>
              <w:pStyle w:val="TableParagraph"/>
              <w:spacing w:line="212"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0"/>
        </w:trPr>
        <w:tc>
          <w:tcPr>
            <w:tcW w:w="3692" w:type="dxa"/>
            <w:gridSpan w:val="7"/>
            <w:tcBorders>
              <w:bottom w:val="nil"/>
            </w:tcBorders>
          </w:tcPr>
          <w:p w:rsidR="00030318" w:rsidRDefault="00030318" w:rsidP="00030318">
            <w:pPr>
              <w:pStyle w:val="TableParagraph"/>
              <w:spacing w:line="201" w:lineRule="exact"/>
              <w:rPr>
                <w:sz w:val="20"/>
              </w:rPr>
            </w:pPr>
            <w:r w:rsidRPr="00C255FA">
              <w:rPr>
                <w:sz w:val="20"/>
              </w:rPr>
              <w:t>Net Assets (as at Feb 19 2019)</w:t>
            </w:r>
          </w:p>
        </w:tc>
        <w:tc>
          <w:tcPr>
            <w:tcW w:w="2429" w:type="dxa"/>
            <w:gridSpan w:val="2"/>
            <w:tcBorders>
              <w:bottom w:val="nil"/>
            </w:tcBorders>
          </w:tcPr>
          <w:p w:rsidR="00030318" w:rsidRDefault="00030318" w:rsidP="00030318">
            <w:pPr>
              <w:pStyle w:val="TableParagraph"/>
              <w:spacing w:line="201" w:lineRule="exact"/>
              <w:ind w:left="104"/>
              <w:rPr>
                <w:sz w:val="20"/>
              </w:rPr>
            </w:pPr>
            <w:r>
              <w:rPr>
                <w:sz w:val="20"/>
              </w:rPr>
              <w:t>Rs. 4,965 million</w:t>
            </w:r>
          </w:p>
        </w:tc>
        <w:tc>
          <w:tcPr>
            <w:tcW w:w="2432" w:type="dxa"/>
          </w:tcPr>
          <w:p w:rsidR="00030318" w:rsidRDefault="00030318" w:rsidP="00030318">
            <w:pPr>
              <w:pStyle w:val="TableParagraph"/>
              <w:ind w:left="0"/>
              <w:rPr>
                <w:rFonts w:ascii="Times New Roman"/>
                <w:sz w:val="18"/>
              </w:rPr>
            </w:pPr>
          </w:p>
        </w:tc>
      </w:tr>
      <w:tr w:rsidR="00030318" w:rsidTr="00030318">
        <w:trPr>
          <w:trHeight w:val="220"/>
        </w:trPr>
        <w:tc>
          <w:tcPr>
            <w:tcW w:w="3692" w:type="dxa"/>
            <w:gridSpan w:val="7"/>
            <w:tcBorders>
              <w:bottom w:val="nil"/>
            </w:tcBorders>
          </w:tcPr>
          <w:p w:rsidR="00030318" w:rsidRDefault="00030318" w:rsidP="00030318">
            <w:pPr>
              <w:pStyle w:val="TableParagraph"/>
              <w:spacing w:line="201" w:lineRule="exact"/>
              <w:rPr>
                <w:sz w:val="20"/>
              </w:rPr>
            </w:pPr>
            <w:r>
              <w:rPr>
                <w:sz w:val="20"/>
              </w:rPr>
              <w:t>Net Assets (as at June 30 2018)</w:t>
            </w:r>
          </w:p>
        </w:tc>
        <w:tc>
          <w:tcPr>
            <w:tcW w:w="2429" w:type="dxa"/>
            <w:gridSpan w:val="2"/>
            <w:tcBorders>
              <w:bottom w:val="nil"/>
            </w:tcBorders>
          </w:tcPr>
          <w:p w:rsidR="00030318" w:rsidRDefault="00030318" w:rsidP="00030318">
            <w:pPr>
              <w:pStyle w:val="TableParagraph"/>
              <w:spacing w:line="201" w:lineRule="exact"/>
              <w:ind w:left="104"/>
              <w:rPr>
                <w:sz w:val="20"/>
              </w:rPr>
            </w:pPr>
            <w:r>
              <w:rPr>
                <w:sz w:val="20"/>
              </w:rPr>
              <w:t>Rs. 6.4Bn</w:t>
            </w:r>
          </w:p>
        </w:tc>
        <w:tc>
          <w:tcPr>
            <w:tcW w:w="2432" w:type="dxa"/>
          </w:tcPr>
          <w:p w:rsidR="00030318" w:rsidRDefault="00030318" w:rsidP="00030318">
            <w:pPr>
              <w:pStyle w:val="TableParagraph"/>
              <w:ind w:left="0"/>
              <w:rPr>
                <w:rFonts w:ascii="Times New Roman"/>
                <w:sz w:val="18"/>
              </w:rPr>
            </w:pPr>
          </w:p>
        </w:tc>
      </w:tr>
      <w:tr w:rsidR="00030318" w:rsidTr="00030318">
        <w:trPr>
          <w:trHeight w:val="220"/>
        </w:trPr>
        <w:tc>
          <w:tcPr>
            <w:tcW w:w="3692" w:type="dxa"/>
            <w:gridSpan w:val="7"/>
            <w:tcBorders>
              <w:bottom w:val="nil"/>
            </w:tcBorders>
          </w:tcPr>
          <w:p w:rsidR="00030318" w:rsidRDefault="00030318" w:rsidP="00030318">
            <w:pPr>
              <w:pStyle w:val="TableParagraph"/>
              <w:spacing w:line="201" w:lineRule="exact"/>
              <w:rPr>
                <w:sz w:val="20"/>
              </w:rPr>
            </w:pPr>
            <w:r>
              <w:rPr>
                <w:sz w:val="20"/>
              </w:rPr>
              <w:t>Net Assets (as at June 30 2017)</w:t>
            </w:r>
          </w:p>
        </w:tc>
        <w:tc>
          <w:tcPr>
            <w:tcW w:w="2429" w:type="dxa"/>
            <w:gridSpan w:val="2"/>
            <w:tcBorders>
              <w:bottom w:val="nil"/>
            </w:tcBorders>
          </w:tcPr>
          <w:p w:rsidR="00030318" w:rsidRDefault="00030318" w:rsidP="00030318">
            <w:pPr>
              <w:pStyle w:val="TableParagraph"/>
              <w:spacing w:line="201" w:lineRule="exact"/>
              <w:ind w:left="104"/>
              <w:rPr>
                <w:sz w:val="20"/>
              </w:rPr>
            </w:pPr>
            <w:r>
              <w:rPr>
                <w:sz w:val="20"/>
              </w:rPr>
              <w:t xml:space="preserve">Rs. 7,895 </w:t>
            </w:r>
            <w:proofErr w:type="spellStart"/>
            <w:r>
              <w:rPr>
                <w:sz w:val="20"/>
              </w:rPr>
              <w:t>mn</w:t>
            </w:r>
            <w:proofErr w:type="spellEnd"/>
          </w:p>
        </w:tc>
        <w:tc>
          <w:tcPr>
            <w:tcW w:w="2432" w:type="dxa"/>
            <w:vMerge w:val="restart"/>
          </w:tcPr>
          <w:p w:rsidR="00030318" w:rsidRDefault="00030318" w:rsidP="00030318">
            <w:pPr>
              <w:pStyle w:val="TableParagraph"/>
              <w:ind w:left="0"/>
              <w:rPr>
                <w:rFonts w:ascii="Times New Roman"/>
                <w:sz w:val="18"/>
              </w:rPr>
            </w:pPr>
          </w:p>
        </w:tc>
      </w:tr>
      <w:tr w:rsidR="00030318" w:rsidTr="00030318">
        <w:trPr>
          <w:trHeight w:val="210"/>
        </w:trPr>
        <w:tc>
          <w:tcPr>
            <w:tcW w:w="3692" w:type="dxa"/>
            <w:gridSpan w:val="7"/>
            <w:tcBorders>
              <w:top w:val="nil"/>
              <w:bottom w:val="nil"/>
            </w:tcBorders>
          </w:tcPr>
          <w:p w:rsidR="00030318" w:rsidRDefault="00030318" w:rsidP="00030318">
            <w:pPr>
              <w:pStyle w:val="TableParagraph"/>
              <w:spacing w:line="190" w:lineRule="exact"/>
              <w:rPr>
                <w:sz w:val="20"/>
              </w:rPr>
            </w:pPr>
            <w:r>
              <w:rPr>
                <w:sz w:val="20"/>
              </w:rPr>
              <w:t>Net Assets (as at June 30 2016)</w:t>
            </w:r>
          </w:p>
        </w:tc>
        <w:tc>
          <w:tcPr>
            <w:tcW w:w="2429" w:type="dxa"/>
            <w:gridSpan w:val="2"/>
            <w:tcBorders>
              <w:top w:val="nil"/>
              <w:bottom w:val="nil"/>
            </w:tcBorders>
          </w:tcPr>
          <w:p w:rsidR="00030318" w:rsidRDefault="00030318" w:rsidP="00030318">
            <w:pPr>
              <w:pStyle w:val="TableParagraph"/>
              <w:spacing w:line="190" w:lineRule="exact"/>
              <w:ind w:left="104"/>
              <w:rPr>
                <w:sz w:val="20"/>
              </w:rPr>
            </w:pPr>
            <w:r>
              <w:rPr>
                <w:sz w:val="20"/>
              </w:rPr>
              <w:t xml:space="preserve">Rs. 2,235 </w:t>
            </w:r>
            <w:proofErr w:type="spellStart"/>
            <w:r>
              <w:rPr>
                <w:sz w:val="20"/>
              </w:rPr>
              <w:t>mn</w:t>
            </w:r>
            <w:proofErr w:type="spellEnd"/>
          </w:p>
        </w:tc>
        <w:tc>
          <w:tcPr>
            <w:tcW w:w="2432" w:type="dxa"/>
            <w:vMerge/>
            <w:tcBorders>
              <w:top w:val="nil"/>
            </w:tcBorders>
          </w:tcPr>
          <w:p w:rsidR="00030318" w:rsidRDefault="00030318" w:rsidP="00030318">
            <w:pPr>
              <w:rPr>
                <w:sz w:val="2"/>
                <w:szCs w:val="2"/>
              </w:rPr>
            </w:pPr>
          </w:p>
        </w:tc>
      </w:tr>
      <w:tr w:rsidR="00030318" w:rsidTr="00030318">
        <w:trPr>
          <w:trHeight w:val="209"/>
        </w:trPr>
        <w:tc>
          <w:tcPr>
            <w:tcW w:w="2479" w:type="dxa"/>
            <w:gridSpan w:val="6"/>
            <w:tcBorders>
              <w:top w:val="nil"/>
              <w:bottom w:val="nil"/>
              <w:right w:val="nil"/>
            </w:tcBorders>
          </w:tcPr>
          <w:p w:rsidR="00030318" w:rsidRDefault="00030318" w:rsidP="00030318">
            <w:pPr>
              <w:pStyle w:val="TableParagraph"/>
              <w:spacing w:line="189" w:lineRule="exact"/>
              <w:rPr>
                <w:sz w:val="20"/>
              </w:rPr>
            </w:pPr>
            <w:r>
              <w:rPr>
                <w:sz w:val="20"/>
              </w:rPr>
              <w:t>Net Assets (as at June 30</w:t>
            </w:r>
          </w:p>
        </w:tc>
        <w:tc>
          <w:tcPr>
            <w:tcW w:w="1213" w:type="dxa"/>
            <w:tcBorders>
              <w:top w:val="nil"/>
              <w:left w:val="nil"/>
              <w:bottom w:val="nil"/>
            </w:tcBorders>
          </w:tcPr>
          <w:p w:rsidR="00030318" w:rsidRDefault="00030318" w:rsidP="00030318">
            <w:pPr>
              <w:pStyle w:val="TableParagraph"/>
              <w:spacing w:line="189" w:lineRule="exact"/>
              <w:ind w:left="93"/>
              <w:rPr>
                <w:sz w:val="20"/>
              </w:rPr>
            </w:pPr>
            <w:r>
              <w:rPr>
                <w:sz w:val="20"/>
              </w:rPr>
              <w:t>2015)</w:t>
            </w:r>
          </w:p>
        </w:tc>
        <w:tc>
          <w:tcPr>
            <w:tcW w:w="2429" w:type="dxa"/>
            <w:gridSpan w:val="2"/>
            <w:tcBorders>
              <w:top w:val="nil"/>
              <w:bottom w:val="nil"/>
            </w:tcBorders>
          </w:tcPr>
          <w:p w:rsidR="00030318" w:rsidRDefault="00030318" w:rsidP="00030318">
            <w:pPr>
              <w:pStyle w:val="TableParagraph"/>
              <w:spacing w:line="189" w:lineRule="exact"/>
              <w:ind w:left="104"/>
              <w:rPr>
                <w:sz w:val="20"/>
              </w:rPr>
            </w:pPr>
            <w:r>
              <w:rPr>
                <w:sz w:val="20"/>
              </w:rPr>
              <w:t xml:space="preserve">Rs. 1,120 </w:t>
            </w:r>
            <w:proofErr w:type="spellStart"/>
            <w:r>
              <w:rPr>
                <w:sz w:val="20"/>
              </w:rPr>
              <w:t>mn</w:t>
            </w:r>
            <w:proofErr w:type="spellEnd"/>
          </w:p>
        </w:tc>
        <w:tc>
          <w:tcPr>
            <w:tcW w:w="2432" w:type="dxa"/>
            <w:vMerge/>
            <w:tcBorders>
              <w:top w:val="nil"/>
            </w:tcBorders>
          </w:tcPr>
          <w:p w:rsidR="00030318" w:rsidRDefault="00030318" w:rsidP="00030318">
            <w:pPr>
              <w:rPr>
                <w:sz w:val="2"/>
                <w:szCs w:val="2"/>
              </w:rPr>
            </w:pPr>
          </w:p>
        </w:tc>
      </w:tr>
      <w:tr w:rsidR="00030318" w:rsidTr="00030318">
        <w:trPr>
          <w:trHeight w:val="218"/>
        </w:trPr>
        <w:tc>
          <w:tcPr>
            <w:tcW w:w="2479" w:type="dxa"/>
            <w:gridSpan w:val="6"/>
            <w:tcBorders>
              <w:top w:val="nil"/>
              <w:right w:val="nil"/>
            </w:tcBorders>
          </w:tcPr>
          <w:p w:rsidR="00030318" w:rsidRDefault="00030318" w:rsidP="00030318">
            <w:pPr>
              <w:pStyle w:val="TableParagraph"/>
              <w:spacing w:line="198" w:lineRule="exact"/>
              <w:rPr>
                <w:sz w:val="20"/>
              </w:rPr>
            </w:pPr>
            <w:r>
              <w:rPr>
                <w:sz w:val="20"/>
              </w:rPr>
              <w:t>Net Assets (as at June 30</w:t>
            </w:r>
          </w:p>
        </w:tc>
        <w:tc>
          <w:tcPr>
            <w:tcW w:w="1213" w:type="dxa"/>
            <w:tcBorders>
              <w:top w:val="nil"/>
              <w:left w:val="nil"/>
            </w:tcBorders>
          </w:tcPr>
          <w:p w:rsidR="00030318" w:rsidRDefault="00030318" w:rsidP="00030318">
            <w:pPr>
              <w:pStyle w:val="TableParagraph"/>
              <w:spacing w:line="198" w:lineRule="exact"/>
              <w:ind w:left="93"/>
              <w:rPr>
                <w:sz w:val="20"/>
              </w:rPr>
            </w:pPr>
            <w:r>
              <w:rPr>
                <w:sz w:val="20"/>
              </w:rPr>
              <w:t>2014)</w:t>
            </w:r>
          </w:p>
        </w:tc>
        <w:tc>
          <w:tcPr>
            <w:tcW w:w="2429" w:type="dxa"/>
            <w:gridSpan w:val="2"/>
            <w:tcBorders>
              <w:top w:val="nil"/>
            </w:tcBorders>
          </w:tcPr>
          <w:p w:rsidR="00030318" w:rsidRDefault="00030318" w:rsidP="00030318">
            <w:pPr>
              <w:pStyle w:val="TableParagraph"/>
              <w:spacing w:line="198" w:lineRule="exact"/>
              <w:ind w:left="104"/>
              <w:rPr>
                <w:sz w:val="20"/>
              </w:rPr>
            </w:pPr>
            <w:r>
              <w:rPr>
                <w:sz w:val="20"/>
              </w:rPr>
              <w:t xml:space="preserve">Rs. 163 </w:t>
            </w:r>
            <w:proofErr w:type="spellStart"/>
            <w:r>
              <w:rPr>
                <w:sz w:val="20"/>
              </w:rPr>
              <w:t>mn</w:t>
            </w:r>
            <w:proofErr w:type="spellEnd"/>
          </w:p>
        </w:tc>
        <w:tc>
          <w:tcPr>
            <w:tcW w:w="2432" w:type="dxa"/>
            <w:vMerge/>
            <w:tcBorders>
              <w:top w:val="nil"/>
            </w:tcBorders>
          </w:tcPr>
          <w:p w:rsidR="00030318" w:rsidRDefault="00030318" w:rsidP="00030318">
            <w:pPr>
              <w:rPr>
                <w:sz w:val="2"/>
                <w:szCs w:val="2"/>
              </w:rPr>
            </w:pPr>
          </w:p>
        </w:tc>
      </w:tr>
      <w:tr w:rsidR="00030318" w:rsidTr="00030318">
        <w:trPr>
          <w:trHeight w:val="221"/>
        </w:trPr>
        <w:tc>
          <w:tcPr>
            <w:tcW w:w="3692" w:type="dxa"/>
            <w:gridSpan w:val="7"/>
            <w:tcBorders>
              <w:bottom w:val="nil"/>
            </w:tcBorders>
          </w:tcPr>
          <w:p w:rsidR="00030318" w:rsidRDefault="00030318" w:rsidP="00030318">
            <w:pPr>
              <w:pStyle w:val="TableParagraph"/>
              <w:spacing w:line="202" w:lineRule="exact"/>
              <w:rPr>
                <w:sz w:val="20"/>
              </w:rPr>
            </w:pPr>
            <w:r w:rsidRPr="00C255FA">
              <w:rPr>
                <w:sz w:val="20"/>
              </w:rPr>
              <w:t>NAV (as at Feb 19, 2019)</w:t>
            </w:r>
          </w:p>
        </w:tc>
        <w:tc>
          <w:tcPr>
            <w:tcW w:w="2429" w:type="dxa"/>
            <w:gridSpan w:val="2"/>
            <w:tcBorders>
              <w:bottom w:val="nil"/>
            </w:tcBorders>
          </w:tcPr>
          <w:p w:rsidR="00030318" w:rsidRDefault="00030318" w:rsidP="00030318">
            <w:pPr>
              <w:pStyle w:val="TableParagraph"/>
              <w:spacing w:line="202" w:lineRule="exact"/>
              <w:ind w:left="104"/>
              <w:rPr>
                <w:sz w:val="20"/>
              </w:rPr>
            </w:pPr>
            <w:r>
              <w:rPr>
                <w:sz w:val="20"/>
              </w:rPr>
              <w:t xml:space="preserve">Rs. </w:t>
            </w:r>
            <w:r w:rsidRPr="00C255FA">
              <w:rPr>
                <w:sz w:val="20"/>
              </w:rPr>
              <w:t>119.121</w:t>
            </w:r>
          </w:p>
        </w:tc>
        <w:tc>
          <w:tcPr>
            <w:tcW w:w="2432" w:type="dxa"/>
          </w:tcPr>
          <w:p w:rsidR="00030318" w:rsidRDefault="00030318" w:rsidP="00030318">
            <w:pPr>
              <w:pStyle w:val="TableParagraph"/>
              <w:ind w:left="0"/>
              <w:rPr>
                <w:rFonts w:ascii="Times New Roman"/>
                <w:sz w:val="18"/>
              </w:rPr>
            </w:pPr>
          </w:p>
        </w:tc>
      </w:tr>
      <w:tr w:rsidR="00030318" w:rsidTr="00030318">
        <w:trPr>
          <w:trHeight w:val="221"/>
        </w:trPr>
        <w:tc>
          <w:tcPr>
            <w:tcW w:w="3692" w:type="dxa"/>
            <w:gridSpan w:val="7"/>
            <w:tcBorders>
              <w:bottom w:val="nil"/>
            </w:tcBorders>
          </w:tcPr>
          <w:p w:rsidR="00030318" w:rsidRDefault="00030318" w:rsidP="00030318">
            <w:pPr>
              <w:pStyle w:val="TableParagraph"/>
              <w:spacing w:line="202" w:lineRule="exact"/>
              <w:rPr>
                <w:sz w:val="20"/>
              </w:rPr>
            </w:pPr>
            <w:r>
              <w:rPr>
                <w:sz w:val="20"/>
              </w:rPr>
              <w:t>NAV (as at June 30 2017)</w:t>
            </w:r>
          </w:p>
        </w:tc>
        <w:tc>
          <w:tcPr>
            <w:tcW w:w="2429" w:type="dxa"/>
            <w:gridSpan w:val="2"/>
            <w:tcBorders>
              <w:bottom w:val="nil"/>
            </w:tcBorders>
          </w:tcPr>
          <w:p w:rsidR="00030318" w:rsidRDefault="00030318" w:rsidP="00030318">
            <w:pPr>
              <w:pStyle w:val="TableParagraph"/>
              <w:spacing w:line="202" w:lineRule="exact"/>
              <w:ind w:left="104"/>
              <w:rPr>
                <w:sz w:val="20"/>
              </w:rPr>
            </w:pPr>
            <w:r>
              <w:rPr>
                <w:sz w:val="20"/>
              </w:rPr>
              <w:t>Rs. 118.7962</w:t>
            </w:r>
          </w:p>
        </w:tc>
        <w:tc>
          <w:tcPr>
            <w:tcW w:w="2432" w:type="dxa"/>
            <w:vMerge w:val="restart"/>
          </w:tcPr>
          <w:p w:rsidR="00030318" w:rsidRDefault="00030318" w:rsidP="00030318">
            <w:pPr>
              <w:pStyle w:val="TableParagraph"/>
              <w:ind w:left="0"/>
              <w:rPr>
                <w:rFonts w:ascii="Times New Roman"/>
                <w:sz w:val="18"/>
              </w:rPr>
            </w:pPr>
          </w:p>
        </w:tc>
      </w:tr>
      <w:tr w:rsidR="00030318" w:rsidTr="00030318">
        <w:trPr>
          <w:trHeight w:val="209"/>
        </w:trPr>
        <w:tc>
          <w:tcPr>
            <w:tcW w:w="3692" w:type="dxa"/>
            <w:gridSpan w:val="7"/>
            <w:tcBorders>
              <w:top w:val="nil"/>
              <w:bottom w:val="nil"/>
            </w:tcBorders>
          </w:tcPr>
          <w:p w:rsidR="00030318" w:rsidRDefault="00030318" w:rsidP="00030318">
            <w:pPr>
              <w:pStyle w:val="TableParagraph"/>
              <w:spacing w:line="189" w:lineRule="exact"/>
              <w:rPr>
                <w:sz w:val="20"/>
              </w:rPr>
            </w:pPr>
            <w:r>
              <w:rPr>
                <w:sz w:val="20"/>
              </w:rPr>
              <w:t>NAV (as at June 30 2016)</w:t>
            </w:r>
          </w:p>
        </w:tc>
        <w:tc>
          <w:tcPr>
            <w:tcW w:w="2429" w:type="dxa"/>
            <w:gridSpan w:val="2"/>
            <w:tcBorders>
              <w:top w:val="nil"/>
              <w:bottom w:val="nil"/>
            </w:tcBorders>
          </w:tcPr>
          <w:p w:rsidR="00030318" w:rsidRDefault="00030318" w:rsidP="00030318">
            <w:pPr>
              <w:pStyle w:val="TableParagraph"/>
              <w:spacing w:line="189" w:lineRule="exact"/>
              <w:ind w:left="104"/>
              <w:rPr>
                <w:sz w:val="20"/>
              </w:rPr>
            </w:pPr>
            <w:r>
              <w:rPr>
                <w:sz w:val="20"/>
              </w:rPr>
              <w:t>Rs. 113.2392</w:t>
            </w:r>
          </w:p>
        </w:tc>
        <w:tc>
          <w:tcPr>
            <w:tcW w:w="2432" w:type="dxa"/>
            <w:vMerge/>
            <w:tcBorders>
              <w:top w:val="nil"/>
            </w:tcBorders>
          </w:tcPr>
          <w:p w:rsidR="00030318" w:rsidRDefault="00030318" w:rsidP="00030318">
            <w:pPr>
              <w:rPr>
                <w:sz w:val="2"/>
                <w:szCs w:val="2"/>
              </w:rPr>
            </w:pPr>
          </w:p>
        </w:tc>
      </w:tr>
      <w:tr w:rsidR="00030318" w:rsidTr="00030318">
        <w:trPr>
          <w:trHeight w:val="210"/>
        </w:trPr>
        <w:tc>
          <w:tcPr>
            <w:tcW w:w="3692" w:type="dxa"/>
            <w:gridSpan w:val="7"/>
            <w:tcBorders>
              <w:top w:val="nil"/>
              <w:bottom w:val="nil"/>
            </w:tcBorders>
          </w:tcPr>
          <w:p w:rsidR="00030318" w:rsidRDefault="00030318" w:rsidP="00030318">
            <w:pPr>
              <w:pStyle w:val="TableParagraph"/>
              <w:spacing w:line="190" w:lineRule="exact"/>
              <w:rPr>
                <w:sz w:val="20"/>
              </w:rPr>
            </w:pPr>
            <w:r>
              <w:rPr>
                <w:sz w:val="20"/>
              </w:rPr>
              <w:t>NAV (as at June 30 2015)</w:t>
            </w:r>
          </w:p>
        </w:tc>
        <w:tc>
          <w:tcPr>
            <w:tcW w:w="2429" w:type="dxa"/>
            <w:gridSpan w:val="2"/>
            <w:tcBorders>
              <w:top w:val="nil"/>
              <w:bottom w:val="nil"/>
            </w:tcBorders>
          </w:tcPr>
          <w:p w:rsidR="00030318" w:rsidRDefault="00030318" w:rsidP="00030318">
            <w:pPr>
              <w:pStyle w:val="TableParagraph"/>
              <w:spacing w:line="190" w:lineRule="exact"/>
              <w:ind w:left="104"/>
              <w:rPr>
                <w:sz w:val="20"/>
              </w:rPr>
            </w:pPr>
            <w:r>
              <w:rPr>
                <w:sz w:val="20"/>
              </w:rPr>
              <w:t>Rs. 108.369</w:t>
            </w:r>
          </w:p>
        </w:tc>
        <w:tc>
          <w:tcPr>
            <w:tcW w:w="2432" w:type="dxa"/>
            <w:vMerge/>
            <w:tcBorders>
              <w:top w:val="nil"/>
            </w:tcBorders>
          </w:tcPr>
          <w:p w:rsidR="00030318" w:rsidRDefault="00030318" w:rsidP="00030318">
            <w:pPr>
              <w:rPr>
                <w:sz w:val="2"/>
                <w:szCs w:val="2"/>
              </w:rPr>
            </w:pPr>
          </w:p>
        </w:tc>
      </w:tr>
      <w:tr w:rsidR="00030318" w:rsidTr="00030318">
        <w:trPr>
          <w:trHeight w:val="219"/>
        </w:trPr>
        <w:tc>
          <w:tcPr>
            <w:tcW w:w="3692" w:type="dxa"/>
            <w:gridSpan w:val="7"/>
            <w:tcBorders>
              <w:top w:val="nil"/>
            </w:tcBorders>
          </w:tcPr>
          <w:p w:rsidR="00030318" w:rsidRDefault="00030318" w:rsidP="00030318">
            <w:pPr>
              <w:pStyle w:val="TableParagraph"/>
              <w:spacing w:line="199" w:lineRule="exact"/>
              <w:rPr>
                <w:sz w:val="20"/>
              </w:rPr>
            </w:pPr>
            <w:r>
              <w:rPr>
                <w:sz w:val="20"/>
              </w:rPr>
              <w:t>NAV (as at June 30 2014)</w:t>
            </w:r>
          </w:p>
        </w:tc>
        <w:tc>
          <w:tcPr>
            <w:tcW w:w="2429" w:type="dxa"/>
            <w:gridSpan w:val="2"/>
            <w:tcBorders>
              <w:top w:val="nil"/>
            </w:tcBorders>
          </w:tcPr>
          <w:p w:rsidR="00030318" w:rsidRDefault="00030318" w:rsidP="00030318">
            <w:pPr>
              <w:pStyle w:val="TableParagraph"/>
              <w:spacing w:line="199" w:lineRule="exact"/>
              <w:ind w:left="104"/>
              <w:rPr>
                <w:sz w:val="20"/>
              </w:rPr>
            </w:pPr>
            <w:r>
              <w:rPr>
                <w:sz w:val="20"/>
              </w:rPr>
              <w:t>Rs. 102.59</w:t>
            </w:r>
          </w:p>
        </w:tc>
        <w:tc>
          <w:tcPr>
            <w:tcW w:w="2432" w:type="dxa"/>
            <w:vMerge/>
            <w:tcBorders>
              <w:top w:val="nil"/>
            </w:tcBorders>
          </w:tcPr>
          <w:p w:rsidR="00030318" w:rsidRDefault="00030318" w:rsidP="00030318">
            <w:pPr>
              <w:rPr>
                <w:sz w:val="2"/>
                <w:szCs w:val="2"/>
              </w:rPr>
            </w:pPr>
          </w:p>
        </w:tc>
      </w:tr>
      <w:tr w:rsidR="00030318" w:rsidTr="00030318">
        <w:trPr>
          <w:trHeight w:val="691"/>
        </w:trPr>
        <w:tc>
          <w:tcPr>
            <w:tcW w:w="3692" w:type="dxa"/>
            <w:gridSpan w:val="7"/>
          </w:tcPr>
          <w:p w:rsidR="00030318" w:rsidRDefault="00030318" w:rsidP="00030318">
            <w:pPr>
              <w:pStyle w:val="TableParagraph"/>
              <w:spacing w:before="9"/>
              <w:ind w:left="0"/>
              <w:rPr>
                <w:sz w:val="19"/>
              </w:rPr>
            </w:pPr>
          </w:p>
          <w:p w:rsidR="00030318" w:rsidRDefault="00030318" w:rsidP="00030318">
            <w:pPr>
              <w:pStyle w:val="TableParagraph"/>
              <w:rPr>
                <w:sz w:val="20"/>
              </w:rPr>
            </w:pPr>
            <w:r>
              <w:rPr>
                <w:sz w:val="20"/>
              </w:rPr>
              <w:t>Listing</w:t>
            </w:r>
          </w:p>
        </w:tc>
        <w:tc>
          <w:tcPr>
            <w:tcW w:w="1332" w:type="dxa"/>
            <w:tcBorders>
              <w:right w:val="nil"/>
            </w:tcBorders>
          </w:tcPr>
          <w:p w:rsidR="00030318" w:rsidRDefault="00030318" w:rsidP="00030318">
            <w:pPr>
              <w:pStyle w:val="TableParagraph"/>
              <w:ind w:left="104"/>
              <w:rPr>
                <w:sz w:val="20"/>
              </w:rPr>
            </w:pPr>
            <w:r>
              <w:rPr>
                <w:sz w:val="20"/>
              </w:rPr>
              <w:t xml:space="preserve">Pakistan </w:t>
            </w:r>
            <w:r>
              <w:rPr>
                <w:w w:val="95"/>
                <w:sz w:val="20"/>
              </w:rPr>
              <w:t>Exchange</w:t>
            </w:r>
          </w:p>
        </w:tc>
        <w:tc>
          <w:tcPr>
            <w:tcW w:w="1097" w:type="dxa"/>
            <w:tcBorders>
              <w:left w:val="nil"/>
            </w:tcBorders>
          </w:tcPr>
          <w:p w:rsidR="00030318" w:rsidRDefault="00030318" w:rsidP="00030318">
            <w:pPr>
              <w:pStyle w:val="TableParagraph"/>
              <w:spacing w:line="227" w:lineRule="exact"/>
              <w:ind w:left="496"/>
              <w:rPr>
                <w:sz w:val="20"/>
              </w:rPr>
            </w:pPr>
            <w:r>
              <w:rPr>
                <w:sz w:val="20"/>
              </w:rPr>
              <w:t>Stock</w:t>
            </w:r>
          </w:p>
        </w:tc>
        <w:tc>
          <w:tcPr>
            <w:tcW w:w="2432" w:type="dxa"/>
          </w:tcPr>
          <w:p w:rsidR="00030318" w:rsidRDefault="00030318" w:rsidP="00030318">
            <w:pPr>
              <w:pStyle w:val="TableParagraph"/>
              <w:ind w:left="0"/>
              <w:rPr>
                <w:rFonts w:ascii="Times New Roman"/>
                <w:sz w:val="18"/>
              </w:rPr>
            </w:pPr>
          </w:p>
        </w:tc>
      </w:tr>
      <w:tr w:rsidR="00030318" w:rsidTr="00030318">
        <w:trPr>
          <w:trHeight w:val="459"/>
        </w:trPr>
        <w:tc>
          <w:tcPr>
            <w:tcW w:w="3692" w:type="dxa"/>
            <w:gridSpan w:val="7"/>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line="213" w:lineRule="exact"/>
              <w:rPr>
                <w:sz w:val="20"/>
              </w:rPr>
            </w:pPr>
            <w:r>
              <w:rPr>
                <w:sz w:val="20"/>
              </w:rPr>
              <w:t>(Credit Rating Agency: JCR-VIS)</w:t>
            </w:r>
          </w:p>
        </w:tc>
        <w:tc>
          <w:tcPr>
            <w:tcW w:w="2429" w:type="dxa"/>
            <w:gridSpan w:val="2"/>
          </w:tcPr>
          <w:p w:rsidR="00030318" w:rsidRDefault="00030318" w:rsidP="00030318">
            <w:pPr>
              <w:pStyle w:val="TableParagraph"/>
              <w:spacing w:before="112"/>
              <w:ind w:left="104"/>
              <w:rPr>
                <w:sz w:val="20"/>
              </w:rPr>
            </w:pPr>
            <w:r>
              <w:rPr>
                <w:sz w:val="20"/>
              </w:rPr>
              <w:t>Not yet Rated</w:t>
            </w:r>
          </w:p>
        </w:tc>
        <w:tc>
          <w:tcPr>
            <w:tcW w:w="2432" w:type="dxa"/>
          </w:tcPr>
          <w:p w:rsidR="00030318" w:rsidRDefault="00030318" w:rsidP="00030318">
            <w:pPr>
              <w:pStyle w:val="TableParagraph"/>
              <w:ind w:left="0"/>
              <w:rPr>
                <w:rFonts w:ascii="Times New Roman"/>
                <w:sz w:val="18"/>
              </w:rPr>
            </w:pPr>
          </w:p>
        </w:tc>
      </w:tr>
      <w:tr w:rsidR="00030318" w:rsidTr="00030318">
        <w:trPr>
          <w:trHeight w:val="229"/>
        </w:trPr>
        <w:tc>
          <w:tcPr>
            <w:tcW w:w="3692" w:type="dxa"/>
            <w:gridSpan w:val="7"/>
          </w:tcPr>
          <w:p w:rsidR="00030318" w:rsidRDefault="00030318" w:rsidP="00030318">
            <w:pPr>
              <w:pStyle w:val="TableParagraph"/>
              <w:spacing w:line="210" w:lineRule="exact"/>
              <w:rPr>
                <w:sz w:val="20"/>
              </w:rPr>
            </w:pPr>
            <w:r>
              <w:rPr>
                <w:sz w:val="20"/>
              </w:rPr>
              <w:t>Performance:</w:t>
            </w:r>
          </w:p>
        </w:tc>
        <w:tc>
          <w:tcPr>
            <w:tcW w:w="2429" w:type="dxa"/>
            <w:gridSpan w:val="2"/>
          </w:tcPr>
          <w:p w:rsidR="00030318" w:rsidRDefault="00030318" w:rsidP="00030318">
            <w:pPr>
              <w:pStyle w:val="TableParagraph"/>
              <w:spacing w:line="210" w:lineRule="exact"/>
              <w:ind w:left="104"/>
              <w:rPr>
                <w:sz w:val="20"/>
              </w:rPr>
            </w:pPr>
            <w:r>
              <w:rPr>
                <w:sz w:val="20"/>
              </w:rPr>
              <w:t>Return</w:t>
            </w:r>
          </w:p>
        </w:tc>
        <w:tc>
          <w:tcPr>
            <w:tcW w:w="2432" w:type="dxa"/>
          </w:tcPr>
          <w:p w:rsidR="00030318" w:rsidRDefault="00030318" w:rsidP="00030318">
            <w:pPr>
              <w:pStyle w:val="TableParagraph"/>
              <w:spacing w:line="210" w:lineRule="exact"/>
              <w:rPr>
                <w:sz w:val="20"/>
              </w:rPr>
            </w:pPr>
            <w:r>
              <w:rPr>
                <w:sz w:val="20"/>
              </w:rPr>
              <w:t>Payout</w:t>
            </w:r>
          </w:p>
        </w:tc>
      </w:tr>
      <w:tr w:rsidR="00030318" w:rsidTr="00030318">
        <w:trPr>
          <w:trHeight w:val="230"/>
        </w:trPr>
        <w:tc>
          <w:tcPr>
            <w:tcW w:w="3692" w:type="dxa"/>
            <w:gridSpan w:val="7"/>
            <w:tcBorders>
              <w:bottom w:val="nil"/>
            </w:tcBorders>
          </w:tcPr>
          <w:p w:rsidR="00030318" w:rsidRDefault="00030318" w:rsidP="00030318">
            <w:pPr>
              <w:pStyle w:val="TableParagraph"/>
              <w:spacing w:line="211" w:lineRule="exact"/>
              <w:rPr>
                <w:sz w:val="20"/>
              </w:rPr>
            </w:pPr>
            <w:r>
              <w:rPr>
                <w:sz w:val="20"/>
              </w:rPr>
              <w:t>Year ended June 30 2017</w:t>
            </w:r>
          </w:p>
        </w:tc>
        <w:tc>
          <w:tcPr>
            <w:tcW w:w="2429" w:type="dxa"/>
            <w:gridSpan w:val="2"/>
            <w:tcBorders>
              <w:bottom w:val="nil"/>
            </w:tcBorders>
          </w:tcPr>
          <w:p w:rsidR="00030318" w:rsidRDefault="00030318" w:rsidP="00030318">
            <w:pPr>
              <w:pStyle w:val="TableParagraph"/>
              <w:spacing w:line="211" w:lineRule="exact"/>
              <w:ind w:left="104"/>
              <w:rPr>
                <w:sz w:val="20"/>
              </w:rPr>
            </w:pPr>
            <w:r>
              <w:rPr>
                <w:sz w:val="20"/>
              </w:rPr>
              <w:t>14.58%</w:t>
            </w:r>
          </w:p>
        </w:tc>
        <w:tc>
          <w:tcPr>
            <w:tcW w:w="2432" w:type="dxa"/>
            <w:tcBorders>
              <w:bottom w:val="nil"/>
            </w:tcBorders>
          </w:tcPr>
          <w:p w:rsidR="00030318" w:rsidRDefault="00030318" w:rsidP="00030318">
            <w:pPr>
              <w:pStyle w:val="TableParagraph"/>
              <w:spacing w:line="211" w:lineRule="exact"/>
              <w:rPr>
                <w:sz w:val="20"/>
              </w:rPr>
            </w:pPr>
            <w:r>
              <w:rPr>
                <w:sz w:val="20"/>
              </w:rPr>
              <w:t>Rs. 11.00 per unit</w:t>
            </w:r>
          </w:p>
        </w:tc>
      </w:tr>
      <w:tr w:rsidR="00030318" w:rsidTr="00030318">
        <w:trPr>
          <w:trHeight w:val="230"/>
        </w:trPr>
        <w:tc>
          <w:tcPr>
            <w:tcW w:w="3692" w:type="dxa"/>
            <w:gridSpan w:val="7"/>
            <w:tcBorders>
              <w:top w:val="nil"/>
              <w:bottom w:val="nil"/>
            </w:tcBorders>
          </w:tcPr>
          <w:p w:rsidR="00030318" w:rsidRDefault="00030318" w:rsidP="00030318">
            <w:pPr>
              <w:pStyle w:val="TableParagraph"/>
              <w:spacing w:line="210" w:lineRule="exact"/>
              <w:rPr>
                <w:sz w:val="20"/>
              </w:rPr>
            </w:pPr>
            <w:r>
              <w:rPr>
                <w:sz w:val="20"/>
              </w:rPr>
              <w:t>Year ended June 30 2016</w:t>
            </w:r>
          </w:p>
        </w:tc>
        <w:tc>
          <w:tcPr>
            <w:tcW w:w="2429" w:type="dxa"/>
            <w:gridSpan w:val="2"/>
            <w:tcBorders>
              <w:top w:val="nil"/>
              <w:bottom w:val="nil"/>
            </w:tcBorders>
          </w:tcPr>
          <w:p w:rsidR="00030318" w:rsidRDefault="00030318" w:rsidP="00030318">
            <w:pPr>
              <w:pStyle w:val="TableParagraph"/>
              <w:spacing w:line="210" w:lineRule="exact"/>
              <w:ind w:left="104"/>
              <w:rPr>
                <w:sz w:val="20"/>
              </w:rPr>
            </w:pPr>
            <w:r>
              <w:rPr>
                <w:sz w:val="20"/>
              </w:rPr>
              <w:t>9.2%</w:t>
            </w:r>
          </w:p>
        </w:tc>
        <w:tc>
          <w:tcPr>
            <w:tcW w:w="2432" w:type="dxa"/>
            <w:tcBorders>
              <w:top w:val="nil"/>
              <w:bottom w:val="nil"/>
            </w:tcBorders>
          </w:tcPr>
          <w:p w:rsidR="00030318" w:rsidRDefault="00030318" w:rsidP="00030318">
            <w:pPr>
              <w:pStyle w:val="TableParagraph"/>
              <w:spacing w:line="210" w:lineRule="exact"/>
              <w:rPr>
                <w:sz w:val="20"/>
              </w:rPr>
            </w:pPr>
            <w:r>
              <w:rPr>
                <w:sz w:val="20"/>
              </w:rPr>
              <w:t>Rs. 5.00 per unit</w:t>
            </w:r>
          </w:p>
        </w:tc>
      </w:tr>
      <w:tr w:rsidR="00030318" w:rsidTr="00030318">
        <w:trPr>
          <w:trHeight w:val="459"/>
        </w:trPr>
        <w:tc>
          <w:tcPr>
            <w:tcW w:w="3692" w:type="dxa"/>
            <w:gridSpan w:val="7"/>
            <w:tcBorders>
              <w:top w:val="nil"/>
            </w:tcBorders>
          </w:tcPr>
          <w:p w:rsidR="00030318" w:rsidRDefault="00030318" w:rsidP="00030318">
            <w:pPr>
              <w:pStyle w:val="TableParagraph"/>
              <w:spacing w:line="227" w:lineRule="exact"/>
              <w:rPr>
                <w:sz w:val="20"/>
              </w:rPr>
            </w:pPr>
            <w:r>
              <w:rPr>
                <w:sz w:val="20"/>
              </w:rPr>
              <w:t>Year ended June 30 2015</w:t>
            </w:r>
          </w:p>
        </w:tc>
        <w:tc>
          <w:tcPr>
            <w:tcW w:w="2429" w:type="dxa"/>
            <w:gridSpan w:val="2"/>
            <w:tcBorders>
              <w:top w:val="nil"/>
            </w:tcBorders>
          </w:tcPr>
          <w:p w:rsidR="00030318" w:rsidRDefault="00030318" w:rsidP="00030318">
            <w:pPr>
              <w:pStyle w:val="TableParagraph"/>
              <w:spacing w:line="227" w:lineRule="exact"/>
              <w:ind w:left="104"/>
              <w:rPr>
                <w:sz w:val="20"/>
              </w:rPr>
            </w:pPr>
            <w:r>
              <w:rPr>
                <w:sz w:val="20"/>
              </w:rPr>
              <w:t>18%</w:t>
            </w:r>
          </w:p>
        </w:tc>
        <w:tc>
          <w:tcPr>
            <w:tcW w:w="2432" w:type="dxa"/>
            <w:tcBorders>
              <w:top w:val="nil"/>
            </w:tcBorders>
          </w:tcPr>
          <w:p w:rsidR="00030318" w:rsidRDefault="00030318" w:rsidP="00030318">
            <w:pPr>
              <w:pStyle w:val="TableParagraph"/>
              <w:spacing w:line="227" w:lineRule="exact"/>
              <w:rPr>
                <w:sz w:val="20"/>
              </w:rPr>
            </w:pPr>
            <w:r>
              <w:rPr>
                <w:sz w:val="20"/>
              </w:rPr>
              <w:t>Rs. 5.44 per unit</w:t>
            </w:r>
          </w:p>
        </w:tc>
      </w:tr>
    </w:tbl>
    <w:p w:rsidR="00030318" w:rsidRDefault="00030318" w:rsidP="00030318">
      <w:pPr>
        <w:pStyle w:val="BodyText"/>
        <w:rPr>
          <w:sz w:val="22"/>
        </w:rPr>
      </w:pPr>
    </w:p>
    <w:p w:rsidR="00030318" w:rsidRDefault="00030318" w:rsidP="00030318">
      <w:pPr>
        <w:pStyle w:val="BodyText"/>
        <w:spacing w:before="6"/>
      </w:pPr>
    </w:p>
    <w:p w:rsidR="00030318" w:rsidRDefault="00030318" w:rsidP="00030318">
      <w:pPr>
        <w:pStyle w:val="Heading5"/>
        <w:ind w:left="621"/>
      </w:pPr>
      <w:r>
        <w:lastRenderedPageBreak/>
        <w:t>AL-AMEEN ISLAMIC ACTIVE ALLOCATION PLAN – VI (</w:t>
      </w:r>
      <w:proofErr w:type="spellStart"/>
      <w:r>
        <w:t>AIActAP</w:t>
      </w:r>
      <w:proofErr w:type="spellEnd"/>
      <w:r>
        <w:t>-VI) – under Al-Ameen Islamic Financial Planning Fund</w:t>
      </w:r>
    </w:p>
    <w:p w:rsidR="00030318" w:rsidRDefault="00030318" w:rsidP="00030318">
      <w:pPr>
        <w:pStyle w:val="BodyText"/>
        <w:spacing w:line="20" w:lineRule="exact"/>
        <w:ind w:left="727"/>
        <w:rPr>
          <w:sz w:val="2"/>
        </w:rPr>
      </w:pPr>
      <w:r>
        <w:rPr>
          <w:rFonts w:ascii="Times New Roman"/>
          <w:spacing w:val="5"/>
          <w:sz w:val="2"/>
        </w:rPr>
        <w:t xml:space="preserve"> </w:t>
      </w:r>
    </w:p>
    <w:p w:rsidR="00030318" w:rsidRDefault="00030318" w:rsidP="00030318">
      <w:pPr>
        <w:pStyle w:val="BodyText"/>
        <w:ind w:left="621" w:right="116"/>
        <w:jc w:val="both"/>
      </w:pPr>
      <w:proofErr w:type="spellStart"/>
      <w:r>
        <w:t>AIActAP</w:t>
      </w:r>
      <w:proofErr w:type="spellEnd"/>
      <w:r>
        <w:t>-VI is the 6th offering of our Shariah compliant Active Allocation Plan series. It gives investors up to 100% equity participation. This scheme is invested dynamically in Shariah Compliant Equity and Shariah Compliant Income/Money Market mutual funds</w:t>
      </w:r>
      <w:proofErr w:type="gramStart"/>
      <w:r>
        <w:t>,.</w:t>
      </w:r>
      <w:proofErr w:type="gramEnd"/>
      <w:r>
        <w:t xml:space="preserve"> Investments are made primarily in Al-Ameen </w:t>
      </w:r>
      <w:proofErr w:type="gramStart"/>
      <w:r>
        <w:t>Dedicated  Equity</w:t>
      </w:r>
      <w:proofErr w:type="gramEnd"/>
      <w:r>
        <w:t xml:space="preserve"> Fund (AIDEF) for the equity component, and in Al-Ameen Islamic Cash Fund/Al-Ameen Islamic Sovereign Fund for the money market/income</w:t>
      </w:r>
      <w:r>
        <w:rPr>
          <w:spacing w:val="-8"/>
        </w:rPr>
        <w:t xml:space="preserve"> </w:t>
      </w:r>
      <w:r>
        <w:t>component</w:t>
      </w:r>
    </w:p>
    <w:p w:rsidR="00030318" w:rsidRDefault="00030318" w:rsidP="00030318">
      <w:pPr>
        <w:pStyle w:val="BodyText"/>
        <w:spacing w:before="3"/>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030318" w:rsidTr="00030318">
        <w:trPr>
          <w:trHeight w:val="229"/>
        </w:trPr>
        <w:tc>
          <w:tcPr>
            <w:tcW w:w="3692" w:type="dxa"/>
          </w:tcPr>
          <w:p w:rsidR="00030318" w:rsidRDefault="00030318" w:rsidP="00030318">
            <w:pPr>
              <w:pStyle w:val="TableParagraph"/>
              <w:spacing w:line="210" w:lineRule="exact"/>
              <w:rPr>
                <w:sz w:val="20"/>
              </w:rPr>
            </w:pPr>
            <w:r>
              <w:rPr>
                <w:sz w:val="20"/>
              </w:rPr>
              <w:t>IPO Date</w:t>
            </w:r>
          </w:p>
        </w:tc>
        <w:tc>
          <w:tcPr>
            <w:tcW w:w="2429" w:type="dxa"/>
          </w:tcPr>
          <w:p w:rsidR="00030318" w:rsidRDefault="00030318" w:rsidP="00030318">
            <w:pPr>
              <w:pStyle w:val="TableParagraph"/>
              <w:spacing w:line="210" w:lineRule="exact"/>
              <w:ind w:left="104"/>
              <w:rPr>
                <w:sz w:val="20"/>
              </w:rPr>
            </w:pPr>
            <w:r>
              <w:rPr>
                <w:sz w:val="20"/>
              </w:rPr>
              <w:t>21 November 2016</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Pr>
          <w:p w:rsidR="00030318" w:rsidRDefault="00030318" w:rsidP="00030318">
            <w:pPr>
              <w:pStyle w:val="TableParagraph"/>
              <w:spacing w:line="210" w:lineRule="exact"/>
              <w:rPr>
                <w:sz w:val="20"/>
              </w:rPr>
            </w:pPr>
            <w:r>
              <w:rPr>
                <w:sz w:val="20"/>
              </w:rPr>
              <w:t>Par Value of units</w:t>
            </w:r>
          </w:p>
        </w:tc>
        <w:tc>
          <w:tcPr>
            <w:tcW w:w="2429" w:type="dxa"/>
          </w:tcPr>
          <w:p w:rsidR="00030318" w:rsidRDefault="00030318" w:rsidP="00030318">
            <w:pPr>
              <w:pStyle w:val="TableParagraph"/>
              <w:spacing w:line="210"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622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2 Bn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2,427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 xml:space="preserve">Rs. </w:t>
            </w:r>
            <w:r w:rsidRPr="00C255FA">
              <w:rPr>
                <w:sz w:val="20"/>
              </w:rPr>
              <w:t>96.5907</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105.5173</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69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8"/>
              <w:ind w:left="0"/>
              <w:rPr>
                <w:sz w:val="19"/>
              </w:rPr>
            </w:pPr>
          </w:p>
          <w:p w:rsidR="00030318" w:rsidRDefault="00030318" w:rsidP="00030318">
            <w:pPr>
              <w:pStyle w:val="TableParagraph"/>
              <w:spacing w:before="1"/>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61"/>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line="214" w:lineRule="exact"/>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6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rPr>
                <w:b/>
                <w:sz w:val="20"/>
              </w:rPr>
            </w:pPr>
            <w:r>
              <w:rPr>
                <w:b/>
                <w:sz w:val="20"/>
              </w:rPr>
              <w:t>Performance:</w:t>
            </w:r>
          </w:p>
          <w:p w:rsidR="00030318" w:rsidRDefault="00030318" w:rsidP="00030318">
            <w:pPr>
              <w:pStyle w:val="TableParagraph"/>
              <w:spacing w:before="3" w:line="213" w:lineRule="exact"/>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ind w:left="109"/>
              <w:rPr>
                <w:b/>
                <w:sz w:val="20"/>
              </w:rPr>
            </w:pPr>
            <w:r>
              <w:rPr>
                <w:b/>
                <w:sz w:val="20"/>
              </w:rPr>
              <w:t>Return:</w:t>
            </w:r>
          </w:p>
          <w:p w:rsidR="00030318" w:rsidRDefault="00030318" w:rsidP="00030318">
            <w:pPr>
              <w:pStyle w:val="TableParagraph"/>
              <w:spacing w:before="3" w:line="213" w:lineRule="exact"/>
              <w:ind w:left="109"/>
              <w:rPr>
                <w:sz w:val="20"/>
              </w:rPr>
            </w:pPr>
            <w:r>
              <w:rPr>
                <w:sz w:val="20"/>
              </w:rPr>
              <w:t>7.90%</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rPr>
                <w:b/>
                <w:sz w:val="20"/>
              </w:rPr>
            </w:pPr>
            <w:r>
              <w:rPr>
                <w:b/>
                <w:sz w:val="20"/>
              </w:rPr>
              <w:t>Payout:</w:t>
            </w:r>
          </w:p>
          <w:p w:rsidR="00030318" w:rsidRDefault="00030318" w:rsidP="00030318">
            <w:pPr>
              <w:pStyle w:val="TableParagraph"/>
              <w:spacing w:before="3" w:line="213" w:lineRule="exact"/>
              <w:rPr>
                <w:sz w:val="20"/>
              </w:rPr>
            </w:pPr>
            <w:r>
              <w:rPr>
                <w:sz w:val="20"/>
              </w:rPr>
              <w:t>Rs. 2.40 per unit</w:t>
            </w:r>
          </w:p>
        </w:tc>
      </w:tr>
    </w:tbl>
    <w:p w:rsidR="00030318" w:rsidRDefault="00030318" w:rsidP="00030318">
      <w:pPr>
        <w:pStyle w:val="BodyText"/>
        <w:rPr>
          <w:sz w:val="22"/>
        </w:rPr>
      </w:pPr>
    </w:p>
    <w:p w:rsidR="00030318" w:rsidRDefault="00030318" w:rsidP="00030318">
      <w:pPr>
        <w:pStyle w:val="Heading5"/>
        <w:spacing w:before="177"/>
        <w:ind w:left="621"/>
      </w:pPr>
      <w:r>
        <w:t>AL-AMEEN ISLAMIC ACTIVE ALLOCATION PLAN – VII (</w:t>
      </w:r>
      <w:proofErr w:type="spellStart"/>
      <w:r>
        <w:t>AIActAP</w:t>
      </w:r>
      <w:proofErr w:type="spellEnd"/>
      <w:r>
        <w:t>-VII) – under Al-Ameen Islamic</w:t>
      </w:r>
    </w:p>
    <w:p w:rsidR="00030318" w:rsidRDefault="00030318" w:rsidP="00030318">
      <w:pPr>
        <w:spacing w:before="1"/>
        <w:ind w:left="621"/>
        <w:rPr>
          <w:b/>
          <w:sz w:val="20"/>
        </w:rPr>
      </w:pPr>
      <w:r>
        <w:rPr>
          <w:b/>
          <w:sz w:val="20"/>
        </w:rPr>
        <w:t>Financial Planning Fund-II</w:t>
      </w:r>
    </w:p>
    <w:p w:rsidR="00030318" w:rsidRDefault="00030318" w:rsidP="00030318">
      <w:pPr>
        <w:pStyle w:val="BodyText"/>
        <w:spacing w:before="3"/>
        <w:rPr>
          <w:b/>
        </w:rPr>
      </w:pPr>
    </w:p>
    <w:p w:rsidR="00030318" w:rsidRDefault="00030318" w:rsidP="00030318">
      <w:pPr>
        <w:pStyle w:val="BodyText"/>
        <w:ind w:left="621" w:right="116"/>
        <w:jc w:val="both"/>
      </w:pPr>
      <w:proofErr w:type="spellStart"/>
      <w:r>
        <w:t>AIActAP</w:t>
      </w:r>
      <w:proofErr w:type="spellEnd"/>
      <w:r>
        <w:t>-VII is the 7th offering of our Shariah compliant Active Allocation Plan series. It gives investors up to 95% equity participation. This scheme is invested dynamically in Shariah Compliant Equity and Shariah Compliant Income/Money Market mutual funds</w:t>
      </w:r>
      <w:proofErr w:type="gramStart"/>
      <w:r>
        <w:t>,.</w:t>
      </w:r>
      <w:proofErr w:type="gramEnd"/>
      <w:r>
        <w:t xml:space="preserve"> Investments are made primarily in Al-Ameen </w:t>
      </w:r>
      <w:proofErr w:type="gramStart"/>
      <w:r>
        <w:t>Dedicated  Equity</w:t>
      </w:r>
      <w:proofErr w:type="gramEnd"/>
      <w:r>
        <w:t xml:space="preserve"> Fund (AIDEF) for the equity component, and in Al-Ameen Islamic Cash Fund/Al-Ameen Islamic Sovereign Fund for the money market/income</w:t>
      </w:r>
      <w:r>
        <w:rPr>
          <w:spacing w:val="-8"/>
        </w:rPr>
        <w:t xml:space="preserve"> </w:t>
      </w:r>
      <w:r>
        <w:t>component</w:t>
      </w:r>
    </w:p>
    <w:p w:rsidR="00030318" w:rsidRDefault="00030318" w:rsidP="00030318">
      <w:pPr>
        <w:pStyle w:val="BodyText"/>
        <w:spacing w:before="3"/>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030318" w:rsidTr="00030318">
        <w:trPr>
          <w:trHeight w:val="234"/>
        </w:trPr>
        <w:tc>
          <w:tcPr>
            <w:tcW w:w="3692" w:type="dxa"/>
          </w:tcPr>
          <w:p w:rsidR="00030318" w:rsidRDefault="00030318" w:rsidP="00030318">
            <w:pPr>
              <w:pStyle w:val="TableParagraph"/>
              <w:spacing w:line="214" w:lineRule="exact"/>
              <w:rPr>
                <w:sz w:val="20"/>
              </w:rPr>
            </w:pPr>
            <w:r>
              <w:rPr>
                <w:sz w:val="20"/>
              </w:rPr>
              <w:t>IPO Date</w:t>
            </w:r>
          </w:p>
        </w:tc>
        <w:tc>
          <w:tcPr>
            <w:tcW w:w="2429" w:type="dxa"/>
          </w:tcPr>
          <w:p w:rsidR="00030318" w:rsidRDefault="00030318" w:rsidP="00030318">
            <w:pPr>
              <w:pStyle w:val="TableParagraph"/>
              <w:spacing w:line="214" w:lineRule="exact"/>
              <w:ind w:left="104"/>
              <w:rPr>
                <w:sz w:val="20"/>
              </w:rPr>
            </w:pPr>
            <w:r>
              <w:rPr>
                <w:sz w:val="20"/>
              </w:rPr>
              <w:t>21</w:t>
            </w:r>
            <w:r>
              <w:rPr>
                <w:rFonts w:ascii="Cambria Math" w:hAnsi="Cambria Math"/>
                <w:sz w:val="20"/>
              </w:rPr>
              <w:t>‐</w:t>
            </w:r>
            <w:r>
              <w:rPr>
                <w:sz w:val="20"/>
              </w:rPr>
              <w:t>Feb</w:t>
            </w:r>
            <w:r>
              <w:rPr>
                <w:rFonts w:ascii="Cambria Math" w:hAnsi="Cambria Math"/>
                <w:sz w:val="20"/>
              </w:rPr>
              <w:t>‐</w:t>
            </w:r>
            <w:r>
              <w:rPr>
                <w:sz w:val="20"/>
              </w:rPr>
              <w:t>17</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Pr>
          <w:p w:rsidR="00030318" w:rsidRDefault="00030318" w:rsidP="00030318">
            <w:pPr>
              <w:pStyle w:val="TableParagraph"/>
              <w:spacing w:line="210" w:lineRule="exact"/>
              <w:rPr>
                <w:sz w:val="20"/>
              </w:rPr>
            </w:pPr>
            <w:r>
              <w:rPr>
                <w:sz w:val="20"/>
              </w:rPr>
              <w:t>Par Value of units</w:t>
            </w:r>
          </w:p>
        </w:tc>
        <w:tc>
          <w:tcPr>
            <w:tcW w:w="2429" w:type="dxa"/>
          </w:tcPr>
          <w:p w:rsidR="00030318" w:rsidRDefault="00030318" w:rsidP="00030318">
            <w:pPr>
              <w:pStyle w:val="TableParagraph"/>
              <w:spacing w:line="210"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1,587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1.6Bn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2,250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90.4483</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98.0880</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69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8"/>
              <w:ind w:left="0"/>
              <w:rPr>
                <w:sz w:val="19"/>
              </w:rPr>
            </w:pPr>
          </w:p>
          <w:p w:rsidR="00030318" w:rsidRDefault="00030318" w:rsidP="00030318">
            <w:pPr>
              <w:pStyle w:val="TableParagraph"/>
              <w:spacing w:before="1"/>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6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line="213" w:lineRule="exact"/>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6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rPr>
                <w:b/>
                <w:sz w:val="20"/>
              </w:rPr>
            </w:pPr>
            <w:r>
              <w:rPr>
                <w:b/>
                <w:sz w:val="20"/>
              </w:rPr>
              <w:t>Performance:</w:t>
            </w:r>
          </w:p>
          <w:p w:rsidR="00030318" w:rsidRDefault="00030318" w:rsidP="00030318">
            <w:pPr>
              <w:pStyle w:val="TableParagraph"/>
              <w:spacing w:before="3" w:line="213" w:lineRule="exact"/>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ind w:left="109"/>
              <w:rPr>
                <w:b/>
                <w:sz w:val="20"/>
              </w:rPr>
            </w:pPr>
            <w:r>
              <w:rPr>
                <w:b/>
                <w:sz w:val="20"/>
              </w:rPr>
              <w:t>Return:</w:t>
            </w:r>
          </w:p>
          <w:p w:rsidR="00030318" w:rsidRDefault="00030318" w:rsidP="00030318">
            <w:pPr>
              <w:pStyle w:val="TableParagraph"/>
              <w:spacing w:before="3" w:line="213" w:lineRule="exact"/>
              <w:ind w:left="109"/>
              <w:rPr>
                <w:sz w:val="20"/>
              </w:rPr>
            </w:pPr>
            <w:r>
              <w:rPr>
                <w:sz w:val="20"/>
              </w:rPr>
              <w:t>-1.91%</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rPr>
                <w:b/>
                <w:sz w:val="20"/>
              </w:rPr>
            </w:pPr>
            <w:r>
              <w:rPr>
                <w:b/>
                <w:sz w:val="20"/>
              </w:rPr>
              <w:t>Payout:</w:t>
            </w:r>
          </w:p>
          <w:p w:rsidR="00030318" w:rsidRDefault="00030318" w:rsidP="00030318">
            <w:pPr>
              <w:pStyle w:val="TableParagraph"/>
              <w:spacing w:before="3" w:line="213" w:lineRule="exact"/>
              <w:rPr>
                <w:sz w:val="20"/>
              </w:rPr>
            </w:pPr>
            <w:r>
              <w:rPr>
                <w:sz w:val="20"/>
              </w:rPr>
              <w:t>N/A</w:t>
            </w:r>
          </w:p>
        </w:tc>
      </w:tr>
    </w:tbl>
    <w:p w:rsidR="00030318" w:rsidRDefault="00030318" w:rsidP="00030318">
      <w:pPr>
        <w:pStyle w:val="BodyText"/>
        <w:rPr>
          <w:sz w:val="22"/>
        </w:rPr>
      </w:pPr>
    </w:p>
    <w:p w:rsidR="00030318" w:rsidRDefault="00030318" w:rsidP="00030318">
      <w:pPr>
        <w:pStyle w:val="BodyText"/>
        <w:spacing w:before="5"/>
        <w:rPr>
          <w:sz w:val="17"/>
        </w:rPr>
      </w:pPr>
    </w:p>
    <w:p w:rsidR="00030318" w:rsidRDefault="00030318" w:rsidP="00030318">
      <w:pPr>
        <w:pStyle w:val="Heading5"/>
        <w:ind w:left="621"/>
      </w:pPr>
      <w:r>
        <w:t>AL-AMEEN ISLAMIC ACTIVE ALLOCATION PLAN – VIII (</w:t>
      </w:r>
      <w:proofErr w:type="spellStart"/>
      <w:r>
        <w:t>AIActAP</w:t>
      </w:r>
      <w:proofErr w:type="spellEnd"/>
      <w:r>
        <w:t>-VIII) – under Al-Ameen Islamic</w:t>
      </w:r>
    </w:p>
    <w:p w:rsidR="00030318" w:rsidRDefault="00030318" w:rsidP="00030318">
      <w:pPr>
        <w:ind w:left="621"/>
        <w:rPr>
          <w:b/>
          <w:sz w:val="20"/>
        </w:rPr>
      </w:pPr>
      <w:r>
        <w:rPr>
          <w:b/>
          <w:sz w:val="20"/>
        </w:rPr>
        <w:t>Financial Planning Fund-II</w:t>
      </w:r>
    </w:p>
    <w:p w:rsidR="00030318" w:rsidRDefault="00030318" w:rsidP="00030318">
      <w:pPr>
        <w:pStyle w:val="BodyText"/>
        <w:spacing w:before="4"/>
        <w:rPr>
          <w:b/>
        </w:rPr>
      </w:pPr>
    </w:p>
    <w:p w:rsidR="00030318" w:rsidRDefault="00030318" w:rsidP="00030318">
      <w:pPr>
        <w:pStyle w:val="BodyText"/>
        <w:ind w:left="621" w:right="116"/>
        <w:jc w:val="both"/>
      </w:pPr>
      <w:proofErr w:type="spellStart"/>
      <w:r>
        <w:t>AIActAP</w:t>
      </w:r>
      <w:proofErr w:type="spellEnd"/>
      <w:r>
        <w:t>-VIII is the 8th offering of our Shariah compliant Active Allocation Plan series. It gives investors up to 95% equity participation. This scheme is invested dynamically in Shariah Compliant Equity and Shariah Compliant Income/Money Market mutual funds</w:t>
      </w:r>
      <w:proofErr w:type="gramStart"/>
      <w:r>
        <w:t>,.</w:t>
      </w:r>
      <w:proofErr w:type="gramEnd"/>
      <w:r>
        <w:t xml:space="preserve"> Investments are made primarily in Al-Ameen </w:t>
      </w:r>
      <w:proofErr w:type="gramStart"/>
      <w:r>
        <w:t>Dedicated  Equity</w:t>
      </w:r>
      <w:proofErr w:type="gramEnd"/>
      <w:r>
        <w:t xml:space="preserve"> Fund (AIDEF) for the equity component, and in Al-Ameen Islamic Cash Fund/Al-Ameen Islamic Sovereign Fund for the money market/income</w:t>
      </w:r>
      <w:r>
        <w:rPr>
          <w:spacing w:val="-8"/>
        </w:rPr>
        <w:t xml:space="preserve"> </w:t>
      </w:r>
      <w:r>
        <w:t>component</w:t>
      </w:r>
    </w:p>
    <w:p w:rsidR="00030318" w:rsidRDefault="00030318" w:rsidP="00030318">
      <w:pPr>
        <w:pStyle w:val="BodyText"/>
        <w:spacing w:before="2" w:after="1"/>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030318" w:rsidTr="00030318">
        <w:trPr>
          <w:trHeight w:val="234"/>
        </w:trPr>
        <w:tc>
          <w:tcPr>
            <w:tcW w:w="3692" w:type="dxa"/>
          </w:tcPr>
          <w:p w:rsidR="00030318" w:rsidRDefault="00030318" w:rsidP="00030318">
            <w:pPr>
              <w:pStyle w:val="TableParagraph"/>
              <w:spacing w:line="214" w:lineRule="exact"/>
              <w:rPr>
                <w:sz w:val="20"/>
              </w:rPr>
            </w:pPr>
            <w:r>
              <w:rPr>
                <w:sz w:val="20"/>
              </w:rPr>
              <w:t>IPO Date</w:t>
            </w:r>
          </w:p>
        </w:tc>
        <w:tc>
          <w:tcPr>
            <w:tcW w:w="2429" w:type="dxa"/>
          </w:tcPr>
          <w:p w:rsidR="00030318" w:rsidRDefault="00030318" w:rsidP="00030318">
            <w:pPr>
              <w:pStyle w:val="TableParagraph"/>
              <w:spacing w:line="214" w:lineRule="exact"/>
              <w:ind w:left="104"/>
              <w:rPr>
                <w:sz w:val="20"/>
              </w:rPr>
            </w:pPr>
            <w:r>
              <w:rPr>
                <w:sz w:val="20"/>
              </w:rPr>
              <w:t>30</w:t>
            </w:r>
            <w:r>
              <w:rPr>
                <w:rFonts w:ascii="Cambria Math" w:hAnsi="Cambria Math"/>
                <w:sz w:val="20"/>
              </w:rPr>
              <w:t>‐</w:t>
            </w:r>
            <w:r>
              <w:rPr>
                <w:sz w:val="20"/>
              </w:rPr>
              <w:t>May</w:t>
            </w:r>
            <w:r>
              <w:rPr>
                <w:rFonts w:ascii="Cambria Math" w:hAnsi="Cambria Math"/>
                <w:sz w:val="20"/>
              </w:rPr>
              <w:t>‐</w:t>
            </w:r>
            <w:r>
              <w:rPr>
                <w:sz w:val="20"/>
              </w:rPr>
              <w:t>17</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Pr>
          <w:p w:rsidR="00030318" w:rsidRDefault="00030318" w:rsidP="00030318">
            <w:pPr>
              <w:pStyle w:val="TableParagraph"/>
              <w:spacing w:line="210" w:lineRule="exact"/>
              <w:rPr>
                <w:sz w:val="20"/>
              </w:rPr>
            </w:pPr>
            <w:r>
              <w:rPr>
                <w:sz w:val="20"/>
              </w:rPr>
              <w:t>Par Value of units</w:t>
            </w:r>
          </w:p>
        </w:tc>
        <w:tc>
          <w:tcPr>
            <w:tcW w:w="2429" w:type="dxa"/>
          </w:tcPr>
          <w:p w:rsidR="00030318" w:rsidRDefault="00030318" w:rsidP="00030318">
            <w:pPr>
              <w:pStyle w:val="TableParagraph"/>
              <w:spacing w:line="210"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4,131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lastRenderedPageBreak/>
              <w:t>Net Assets (as at June 30 2018)</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4.3Bn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4,995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 xml:space="preserve">Rs. </w:t>
            </w:r>
            <w:r w:rsidRPr="00C255FA">
              <w:rPr>
                <w:sz w:val="20"/>
              </w:rPr>
              <w:t>90.3169</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96.8685</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69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8"/>
              <w:ind w:left="0"/>
              <w:rPr>
                <w:sz w:val="19"/>
              </w:rPr>
            </w:pPr>
          </w:p>
          <w:p w:rsidR="00030318" w:rsidRDefault="00030318" w:rsidP="00030318">
            <w:pPr>
              <w:pStyle w:val="TableParagraph"/>
              <w:spacing w:before="1"/>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58"/>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line="211" w:lineRule="exact"/>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65"/>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9" w:lineRule="exact"/>
              <w:rPr>
                <w:b/>
                <w:sz w:val="20"/>
              </w:rPr>
            </w:pPr>
            <w:r>
              <w:rPr>
                <w:b/>
                <w:sz w:val="20"/>
              </w:rPr>
              <w:t>Performance:</w:t>
            </w:r>
          </w:p>
          <w:p w:rsidR="00030318" w:rsidRDefault="00030318" w:rsidP="00030318">
            <w:pPr>
              <w:pStyle w:val="TableParagraph"/>
              <w:spacing w:line="215" w:lineRule="exact"/>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7" w:lineRule="exact"/>
              <w:ind w:left="109"/>
              <w:rPr>
                <w:b/>
                <w:sz w:val="20"/>
              </w:rPr>
            </w:pPr>
            <w:r>
              <w:rPr>
                <w:b/>
                <w:sz w:val="20"/>
              </w:rPr>
              <w:t>Return:</w:t>
            </w:r>
          </w:p>
          <w:p w:rsidR="00030318" w:rsidRDefault="00030318" w:rsidP="00030318">
            <w:pPr>
              <w:pStyle w:val="TableParagraph"/>
              <w:spacing w:before="2" w:line="215" w:lineRule="exact"/>
              <w:ind w:left="109"/>
              <w:rPr>
                <w:sz w:val="20"/>
              </w:rPr>
            </w:pPr>
            <w:r>
              <w:rPr>
                <w:rFonts w:ascii="Cambria Math" w:hAnsi="Cambria Math"/>
                <w:sz w:val="20"/>
              </w:rPr>
              <w:t>‐</w:t>
            </w:r>
            <w:r>
              <w:rPr>
                <w:sz w:val="20"/>
              </w:rPr>
              <w:t>3.13%</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9" w:lineRule="exact"/>
              <w:rPr>
                <w:b/>
                <w:sz w:val="20"/>
              </w:rPr>
            </w:pPr>
            <w:r>
              <w:rPr>
                <w:b/>
                <w:sz w:val="20"/>
              </w:rPr>
              <w:t>Payout:</w:t>
            </w:r>
          </w:p>
          <w:p w:rsidR="00030318" w:rsidRDefault="00030318" w:rsidP="00030318">
            <w:pPr>
              <w:pStyle w:val="TableParagraph"/>
              <w:spacing w:line="215" w:lineRule="exact"/>
              <w:rPr>
                <w:sz w:val="20"/>
              </w:rPr>
            </w:pPr>
            <w:r>
              <w:rPr>
                <w:sz w:val="20"/>
              </w:rPr>
              <w:t>N/A</w:t>
            </w:r>
          </w:p>
        </w:tc>
      </w:tr>
    </w:tbl>
    <w:p w:rsidR="00030318" w:rsidRDefault="00030318" w:rsidP="00030318">
      <w:pPr>
        <w:pStyle w:val="BodyText"/>
        <w:spacing w:before="4"/>
        <w:rPr>
          <w:sz w:val="14"/>
        </w:rPr>
      </w:pPr>
    </w:p>
    <w:p w:rsidR="00030318" w:rsidRDefault="00030318" w:rsidP="00030318">
      <w:pPr>
        <w:pStyle w:val="BodyText"/>
        <w:spacing w:line="20" w:lineRule="exact"/>
        <w:ind w:left="727"/>
        <w:rPr>
          <w:sz w:val="2"/>
        </w:rPr>
      </w:pPr>
      <w:r>
        <w:rPr>
          <w:rFonts w:ascii="Times New Roman"/>
          <w:spacing w:val="5"/>
          <w:sz w:val="2"/>
        </w:rPr>
        <w:t xml:space="preserve"> </w:t>
      </w:r>
    </w:p>
    <w:p w:rsidR="00030318" w:rsidRDefault="00030318" w:rsidP="00030318">
      <w:pPr>
        <w:pStyle w:val="BodyText"/>
        <w:spacing w:before="2"/>
        <w:rPr>
          <w:sz w:val="10"/>
        </w:rPr>
      </w:pPr>
    </w:p>
    <w:p w:rsidR="00030318" w:rsidRDefault="00030318" w:rsidP="00030318">
      <w:pPr>
        <w:pStyle w:val="Heading5"/>
        <w:spacing w:before="93"/>
        <w:ind w:left="621"/>
      </w:pPr>
      <w:r>
        <w:t>AL-AMEEN ISLAMIC ACTIVE ALLOCATION PLAN – IX (</w:t>
      </w:r>
      <w:proofErr w:type="spellStart"/>
      <w:r>
        <w:t>AIActAP</w:t>
      </w:r>
      <w:proofErr w:type="spellEnd"/>
      <w:r>
        <w:t>-IX) – under Al-Ameen Islamic Financial Planning Fund-II</w:t>
      </w:r>
    </w:p>
    <w:p w:rsidR="00030318" w:rsidRDefault="00030318" w:rsidP="00030318">
      <w:pPr>
        <w:pStyle w:val="BodyText"/>
        <w:spacing w:before="1"/>
        <w:rPr>
          <w:b/>
        </w:rPr>
      </w:pPr>
    </w:p>
    <w:p w:rsidR="00030318" w:rsidRDefault="00030318" w:rsidP="00030318">
      <w:pPr>
        <w:pStyle w:val="BodyText"/>
        <w:spacing w:before="1"/>
        <w:ind w:left="621" w:right="115"/>
        <w:jc w:val="both"/>
      </w:pPr>
      <w:proofErr w:type="spellStart"/>
      <w:r>
        <w:t>AIActAP</w:t>
      </w:r>
      <w:proofErr w:type="spellEnd"/>
      <w:r>
        <w:t>-IX is the 9th offering of our Shariah compliant Active Allocation Plan series. It gives investors up to 95% equity participation. This scheme is invested dynamically in Shariah Compliant Equity and Shariah Compliant Income/Money Market mutual funds</w:t>
      </w:r>
      <w:proofErr w:type="gramStart"/>
      <w:r>
        <w:t>,.</w:t>
      </w:r>
      <w:proofErr w:type="gramEnd"/>
      <w:r>
        <w:t xml:space="preserve"> Investments are made primarily in Al-Ameen </w:t>
      </w:r>
      <w:proofErr w:type="gramStart"/>
      <w:r>
        <w:t>Dedicated  Equity</w:t>
      </w:r>
      <w:proofErr w:type="gramEnd"/>
      <w:r>
        <w:t xml:space="preserve"> Fund (AIDEF) for the equity component, and in Al-Ameen Islamic Cash Fund/Al-Ameen Islamic Sovereign Fund for the money market/income</w:t>
      </w:r>
      <w:r>
        <w:rPr>
          <w:spacing w:val="-8"/>
        </w:rPr>
        <w:t xml:space="preserve"> </w:t>
      </w:r>
      <w:r>
        <w:t>component</w:t>
      </w:r>
    </w:p>
    <w:p w:rsidR="00030318" w:rsidRDefault="00030318" w:rsidP="00030318">
      <w:pPr>
        <w:pStyle w:val="BodyText"/>
        <w:spacing w:before="2"/>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030318" w:rsidTr="00030318">
        <w:trPr>
          <w:trHeight w:val="229"/>
        </w:trPr>
        <w:tc>
          <w:tcPr>
            <w:tcW w:w="3692" w:type="dxa"/>
          </w:tcPr>
          <w:p w:rsidR="00030318" w:rsidRDefault="00030318" w:rsidP="00030318">
            <w:pPr>
              <w:pStyle w:val="TableParagraph"/>
              <w:spacing w:line="210" w:lineRule="exact"/>
              <w:rPr>
                <w:sz w:val="20"/>
              </w:rPr>
            </w:pPr>
            <w:r>
              <w:rPr>
                <w:sz w:val="20"/>
              </w:rPr>
              <w:t>IPO Date</w:t>
            </w:r>
          </w:p>
        </w:tc>
        <w:tc>
          <w:tcPr>
            <w:tcW w:w="2429" w:type="dxa"/>
          </w:tcPr>
          <w:p w:rsidR="00030318" w:rsidRDefault="00030318" w:rsidP="00030318">
            <w:pPr>
              <w:pStyle w:val="TableParagraph"/>
              <w:spacing w:line="210" w:lineRule="exact"/>
              <w:ind w:left="104"/>
              <w:rPr>
                <w:sz w:val="20"/>
              </w:rPr>
            </w:pPr>
            <w:r>
              <w:rPr>
                <w:sz w:val="20"/>
              </w:rPr>
              <w:t>25 August 2017</w:t>
            </w:r>
          </w:p>
        </w:tc>
        <w:tc>
          <w:tcPr>
            <w:tcW w:w="2432" w:type="dxa"/>
          </w:tcPr>
          <w:p w:rsidR="00030318" w:rsidRDefault="00030318" w:rsidP="00030318">
            <w:pPr>
              <w:pStyle w:val="TableParagraph"/>
              <w:ind w:left="0"/>
              <w:rPr>
                <w:rFonts w:ascii="Times New Roman"/>
                <w:sz w:val="16"/>
              </w:rPr>
            </w:pPr>
          </w:p>
        </w:tc>
      </w:tr>
      <w:tr w:rsidR="00030318" w:rsidTr="00030318">
        <w:trPr>
          <w:trHeight w:val="231"/>
        </w:trPr>
        <w:tc>
          <w:tcPr>
            <w:tcW w:w="3692" w:type="dxa"/>
          </w:tcPr>
          <w:p w:rsidR="00030318" w:rsidRDefault="00030318" w:rsidP="00030318">
            <w:pPr>
              <w:pStyle w:val="TableParagraph"/>
              <w:spacing w:line="212" w:lineRule="exact"/>
              <w:rPr>
                <w:sz w:val="20"/>
              </w:rPr>
            </w:pPr>
            <w:r>
              <w:rPr>
                <w:sz w:val="20"/>
              </w:rPr>
              <w:t>Par Value of units</w:t>
            </w:r>
          </w:p>
        </w:tc>
        <w:tc>
          <w:tcPr>
            <w:tcW w:w="2429" w:type="dxa"/>
          </w:tcPr>
          <w:p w:rsidR="00030318" w:rsidRDefault="00030318" w:rsidP="00030318">
            <w:pPr>
              <w:pStyle w:val="TableParagraph"/>
              <w:spacing w:line="212"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bl>
    <w:p w:rsidR="00030318" w:rsidRDefault="00030318" w:rsidP="00030318">
      <w:pPr>
        <w:pStyle w:val="BodyText"/>
        <w:rPr>
          <w:sz w:val="22"/>
        </w:rPr>
      </w:pPr>
    </w:p>
    <w:p w:rsidR="00030318" w:rsidRDefault="00030318" w:rsidP="00030318">
      <w:pPr>
        <w:pStyle w:val="BodyText"/>
        <w:spacing w:before="7"/>
        <w:rPr>
          <w:sz w:val="17"/>
        </w:rPr>
      </w:pPr>
    </w:p>
    <w:p w:rsidR="00030318" w:rsidRDefault="00030318" w:rsidP="00030318">
      <w:pPr>
        <w:pStyle w:val="Heading5"/>
        <w:ind w:left="621" w:firstLine="0"/>
      </w:pPr>
      <w:r>
        <w:t>Al-Ameen Islamic Dedicated Equity Fund (AIDEF)</w:t>
      </w:r>
    </w:p>
    <w:p w:rsidR="00030318" w:rsidRDefault="00030318" w:rsidP="00030318">
      <w:pPr>
        <w:pStyle w:val="BodyText"/>
        <w:spacing w:before="1"/>
        <w:rPr>
          <w:b/>
        </w:rPr>
      </w:pPr>
    </w:p>
    <w:p w:rsidR="00030318" w:rsidRDefault="00030318" w:rsidP="00030318">
      <w:pPr>
        <w:pStyle w:val="BodyText"/>
        <w:spacing w:after="4"/>
        <w:ind w:left="621" w:right="966"/>
      </w:pPr>
      <w:r>
        <w:t>AIDEF is an Open end Shariah Compliant Fund of funds that aims to provide other ‘Fund of Funds’ schemes an avenue for investing in Shariah compliant Equities.</w:t>
      </w: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030318" w:rsidTr="00030318">
        <w:trPr>
          <w:trHeight w:val="229"/>
        </w:trPr>
        <w:tc>
          <w:tcPr>
            <w:tcW w:w="3692" w:type="dxa"/>
          </w:tcPr>
          <w:p w:rsidR="00030318" w:rsidRDefault="00030318" w:rsidP="00030318">
            <w:pPr>
              <w:pStyle w:val="TableParagraph"/>
              <w:spacing w:line="210" w:lineRule="exact"/>
              <w:rPr>
                <w:sz w:val="20"/>
              </w:rPr>
            </w:pPr>
            <w:r>
              <w:rPr>
                <w:sz w:val="20"/>
              </w:rPr>
              <w:t>IPO Date</w:t>
            </w:r>
          </w:p>
        </w:tc>
        <w:tc>
          <w:tcPr>
            <w:tcW w:w="2429" w:type="dxa"/>
          </w:tcPr>
          <w:p w:rsidR="00030318" w:rsidRDefault="00030318" w:rsidP="00030318">
            <w:pPr>
              <w:pStyle w:val="TableParagraph"/>
              <w:spacing w:line="210" w:lineRule="exact"/>
              <w:ind w:left="104"/>
              <w:rPr>
                <w:sz w:val="20"/>
              </w:rPr>
            </w:pPr>
            <w:r>
              <w:rPr>
                <w:sz w:val="20"/>
              </w:rPr>
              <w:t>15 December 2015</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Pr>
          <w:p w:rsidR="00030318" w:rsidRDefault="00030318" w:rsidP="00030318">
            <w:pPr>
              <w:pStyle w:val="TableParagraph"/>
              <w:spacing w:line="210" w:lineRule="exact"/>
              <w:rPr>
                <w:sz w:val="20"/>
              </w:rPr>
            </w:pPr>
            <w:r>
              <w:rPr>
                <w:sz w:val="20"/>
              </w:rPr>
              <w:t>Par Value of units</w:t>
            </w:r>
          </w:p>
        </w:tc>
        <w:tc>
          <w:tcPr>
            <w:tcW w:w="2429" w:type="dxa"/>
          </w:tcPr>
          <w:p w:rsidR="00030318" w:rsidRDefault="00030318" w:rsidP="00030318">
            <w:pPr>
              <w:pStyle w:val="TableParagraph"/>
              <w:spacing w:line="210" w:lineRule="exact"/>
              <w:ind w:left="104"/>
              <w:rPr>
                <w:sz w:val="20"/>
              </w:rPr>
            </w:pPr>
            <w:r>
              <w:rPr>
                <w:sz w:val="20"/>
              </w:rPr>
              <w:t>Rs. 100</w:t>
            </w:r>
          </w:p>
        </w:tc>
        <w:tc>
          <w:tcPr>
            <w:tcW w:w="2432" w:type="dxa"/>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8,100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11.1Mn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29"/>
        </w:trPr>
        <w:tc>
          <w:tcPr>
            <w:tcW w:w="3692"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11,735 Million</w:t>
            </w:r>
          </w:p>
        </w:tc>
        <w:tc>
          <w:tcPr>
            <w:tcW w:w="2432" w:type="dxa"/>
            <w:tcBorders>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113.9039</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23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10" w:lineRule="exact"/>
              <w:ind w:left="109"/>
              <w:rPr>
                <w:sz w:val="20"/>
              </w:rPr>
            </w:pPr>
            <w:r>
              <w:rPr>
                <w:sz w:val="20"/>
              </w:rPr>
              <w:t>Rs. 133.7224</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6"/>
              </w:rPr>
            </w:pPr>
          </w:p>
        </w:tc>
      </w:tr>
      <w:tr w:rsidR="00030318" w:rsidTr="00030318">
        <w:trPr>
          <w:trHeight w:val="69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8"/>
              <w:ind w:left="0"/>
              <w:rPr>
                <w:sz w:val="19"/>
              </w:rPr>
            </w:pPr>
          </w:p>
          <w:p w:rsidR="00030318" w:rsidRDefault="00030318" w:rsidP="00030318">
            <w:pPr>
              <w:pStyle w:val="TableParagraph"/>
              <w:spacing w:before="1"/>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460"/>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7" w:lineRule="exact"/>
              <w:rPr>
                <w:sz w:val="20"/>
              </w:rPr>
            </w:pPr>
            <w:r>
              <w:rPr>
                <w:sz w:val="20"/>
              </w:rPr>
              <w:t>Fund Rating:</w:t>
            </w:r>
          </w:p>
          <w:p w:rsidR="00030318" w:rsidRDefault="00030318" w:rsidP="00030318">
            <w:pPr>
              <w:pStyle w:val="TableParagraph"/>
              <w:spacing w:line="213" w:lineRule="exact"/>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ind w:left="0"/>
              <w:rPr>
                <w:rFonts w:ascii="Times New Roman"/>
                <w:sz w:val="18"/>
              </w:rPr>
            </w:pPr>
          </w:p>
        </w:tc>
      </w:tr>
      <w:tr w:rsidR="00030318" w:rsidTr="00030318">
        <w:trPr>
          <w:trHeight w:val="691"/>
        </w:trPr>
        <w:tc>
          <w:tcPr>
            <w:tcW w:w="369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0"/>
              <w:rPr>
                <w:b/>
                <w:sz w:val="20"/>
              </w:rPr>
            </w:pPr>
            <w:r>
              <w:rPr>
                <w:b/>
                <w:sz w:val="20"/>
              </w:rPr>
              <w:t>Performance:</w:t>
            </w:r>
          </w:p>
          <w:p w:rsidR="00030318" w:rsidRDefault="00030318" w:rsidP="00030318">
            <w:pPr>
              <w:pStyle w:val="TableParagraph"/>
              <w:spacing w:before="3"/>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before="110"/>
              <w:ind w:left="109"/>
              <w:rPr>
                <w:b/>
                <w:sz w:val="20"/>
              </w:rPr>
            </w:pPr>
            <w:r>
              <w:rPr>
                <w:b/>
                <w:sz w:val="20"/>
              </w:rPr>
              <w:t>Return:</w:t>
            </w:r>
          </w:p>
          <w:p w:rsidR="00030318" w:rsidRDefault="00030318" w:rsidP="00030318">
            <w:pPr>
              <w:pStyle w:val="TableParagraph"/>
              <w:spacing w:before="3"/>
              <w:ind w:left="109"/>
              <w:rPr>
                <w:sz w:val="20"/>
              </w:rPr>
            </w:pPr>
            <w:r>
              <w:rPr>
                <w:sz w:val="20"/>
              </w:rPr>
              <w:t>39.49%</w:t>
            </w:r>
          </w:p>
        </w:tc>
        <w:tc>
          <w:tcPr>
            <w:tcW w:w="2432" w:type="dxa"/>
            <w:tcBorders>
              <w:top w:val="single" w:sz="4" w:space="0" w:color="000000"/>
              <w:left w:val="single" w:sz="4" w:space="0" w:color="000000"/>
              <w:bottom w:val="single" w:sz="4" w:space="0" w:color="000000"/>
              <w:right w:val="single" w:sz="4" w:space="0" w:color="000000"/>
            </w:tcBorders>
          </w:tcPr>
          <w:p w:rsidR="00030318" w:rsidRDefault="00030318" w:rsidP="00030318">
            <w:pPr>
              <w:pStyle w:val="TableParagraph"/>
              <w:spacing w:line="225" w:lineRule="exact"/>
              <w:rPr>
                <w:b/>
                <w:sz w:val="20"/>
              </w:rPr>
            </w:pPr>
            <w:r>
              <w:rPr>
                <w:b/>
                <w:sz w:val="20"/>
              </w:rPr>
              <w:t>Payout:</w:t>
            </w:r>
          </w:p>
          <w:p w:rsidR="00030318" w:rsidRDefault="00030318" w:rsidP="00030318">
            <w:pPr>
              <w:pStyle w:val="TableParagraph"/>
              <w:spacing w:before="3" w:line="230" w:lineRule="atLeast"/>
              <w:ind w:right="600"/>
              <w:rPr>
                <w:sz w:val="20"/>
              </w:rPr>
            </w:pPr>
            <w:r>
              <w:rPr>
                <w:sz w:val="20"/>
              </w:rPr>
              <w:t>Rs. 4.50 per unit Rs. 1.00 per unit</w:t>
            </w:r>
          </w:p>
        </w:tc>
      </w:tr>
    </w:tbl>
    <w:p w:rsidR="00030318" w:rsidRPr="001D522B" w:rsidRDefault="00030318" w:rsidP="00030318">
      <w:pPr>
        <w:pStyle w:val="BodyText"/>
        <w:rPr>
          <w:sz w:val="29"/>
        </w:rPr>
      </w:pPr>
    </w:p>
    <w:p w:rsidR="0048563C" w:rsidRDefault="0048563C" w:rsidP="00F810B4">
      <w:pPr>
        <w:ind w:left="621"/>
        <w:rPr>
          <w:b/>
          <w:sz w:val="20"/>
        </w:rPr>
      </w:pPr>
    </w:p>
    <w:p w:rsidR="005E5B48" w:rsidRPr="003948BA" w:rsidRDefault="00814043" w:rsidP="00A002A6">
      <w:pPr>
        <w:pStyle w:val="Heading5"/>
        <w:numPr>
          <w:ilvl w:val="1"/>
          <w:numId w:val="39"/>
        </w:numPr>
        <w:tabs>
          <w:tab w:val="left" w:pos="1722"/>
        </w:tabs>
        <w:spacing w:before="93"/>
        <w:ind w:left="1722"/>
        <w:jc w:val="both"/>
      </w:pPr>
      <w:bookmarkStart w:id="32" w:name="_bookmark28"/>
      <w:bookmarkEnd w:id="32"/>
      <w:r w:rsidRPr="003948BA">
        <w:t>Role and Responsibilities of the Management</w:t>
      </w:r>
      <w:r w:rsidRPr="003948BA">
        <w:rPr>
          <w:spacing w:val="-9"/>
        </w:rPr>
        <w:t xml:space="preserve"> </w:t>
      </w:r>
      <w:r w:rsidRPr="003948BA">
        <w:t>Company</w:t>
      </w:r>
    </w:p>
    <w:p w:rsidR="005E5B48" w:rsidRPr="003948BA" w:rsidRDefault="005E5B48">
      <w:pPr>
        <w:pStyle w:val="BodyText"/>
        <w:spacing w:before="4"/>
        <w:rPr>
          <w:b/>
          <w:sz w:val="21"/>
        </w:rPr>
      </w:pPr>
    </w:p>
    <w:p w:rsidR="005E5B48" w:rsidRPr="003948BA" w:rsidRDefault="00814043">
      <w:pPr>
        <w:pStyle w:val="BodyText"/>
        <w:ind w:left="1002" w:right="1011"/>
        <w:jc w:val="both"/>
      </w:pPr>
      <w:r w:rsidRPr="003948BA">
        <w:t>The Management Company shall manage, operate and administer the Scheme and all allocation plans under it, in accordance with the Rules, Regulations directives, circulars, shariah provision and guidelines issued by SECP and this Deed and the Offering Document.</w:t>
      </w:r>
    </w:p>
    <w:p w:rsidR="005E5B48" w:rsidRPr="003948BA" w:rsidRDefault="005E5B48">
      <w:pPr>
        <w:pStyle w:val="BodyText"/>
        <w:spacing w:before="9"/>
      </w:pPr>
    </w:p>
    <w:p w:rsidR="005E5B48" w:rsidRPr="003948BA" w:rsidRDefault="00814043">
      <w:pPr>
        <w:pStyle w:val="BodyText"/>
        <w:ind w:left="1002" w:right="1013"/>
        <w:jc w:val="both"/>
      </w:pPr>
      <w:r w:rsidRPr="003948BA">
        <w:t xml:space="preserve">The Fund is based on the </w:t>
      </w:r>
      <w:proofErr w:type="spellStart"/>
      <w:r w:rsidRPr="003948BA">
        <w:t>Shariah</w:t>
      </w:r>
      <w:proofErr w:type="spellEnd"/>
      <w:r w:rsidRPr="003948BA">
        <w:t xml:space="preserve"> principals of “</w:t>
      </w:r>
      <w:proofErr w:type="spellStart"/>
      <w:r w:rsidRPr="003948BA">
        <w:t>Wakala</w:t>
      </w:r>
      <w:proofErr w:type="spellEnd"/>
      <w:r w:rsidRPr="003948BA">
        <w:t>”, in which the Management Company shall manage, operate and administer the Scheme and Fund Property in the interest of the Principal (Unit Holders) in good faith, and to the best of its ability.</w:t>
      </w:r>
    </w:p>
    <w:p w:rsidR="005E5B48" w:rsidRPr="003948BA" w:rsidRDefault="005E5B48">
      <w:pPr>
        <w:pStyle w:val="BodyText"/>
        <w:spacing w:before="6"/>
      </w:pPr>
    </w:p>
    <w:p w:rsidR="005E5B48" w:rsidRPr="003948BA" w:rsidRDefault="00814043" w:rsidP="00A002A6">
      <w:pPr>
        <w:pStyle w:val="Heading5"/>
        <w:numPr>
          <w:ilvl w:val="2"/>
          <w:numId w:val="39"/>
        </w:numPr>
        <w:tabs>
          <w:tab w:val="left" w:pos="1624"/>
        </w:tabs>
        <w:spacing w:before="1"/>
        <w:ind w:left="1623" w:hanging="621"/>
        <w:jc w:val="both"/>
      </w:pPr>
      <w:r w:rsidRPr="003948BA">
        <w:t>Administration of the</w:t>
      </w:r>
      <w:r w:rsidRPr="003948BA">
        <w:rPr>
          <w:spacing w:val="-13"/>
        </w:rPr>
        <w:t xml:space="preserve"> </w:t>
      </w:r>
      <w:r w:rsidRPr="003948BA">
        <w:t>Scheme</w:t>
      </w:r>
    </w:p>
    <w:p w:rsidR="005E5B48" w:rsidRPr="003948BA" w:rsidRDefault="00814043">
      <w:pPr>
        <w:pStyle w:val="BodyText"/>
        <w:spacing w:before="67"/>
        <w:ind w:left="1002" w:right="1011"/>
        <w:jc w:val="both"/>
      </w:pPr>
      <w:r w:rsidRPr="003948BA">
        <w:t xml:space="preserve">The Management Company shall administer the Scheme in accordance with the Rules, the Regulations, the Deed and this Offering Document and the conditions (if any), which may be </w:t>
      </w:r>
      <w:r w:rsidRPr="003948BA">
        <w:lastRenderedPageBreak/>
        <w:t>imposed by the Commission from time to time.</w:t>
      </w:r>
    </w:p>
    <w:p w:rsidR="005E5B48" w:rsidRPr="003948BA" w:rsidRDefault="005E5B48">
      <w:pPr>
        <w:pStyle w:val="BodyText"/>
        <w:spacing w:before="6"/>
        <w:rPr>
          <w:sz w:val="32"/>
        </w:rPr>
      </w:pPr>
    </w:p>
    <w:p w:rsidR="005E5B48" w:rsidRPr="003948BA" w:rsidRDefault="00814043" w:rsidP="00A002A6">
      <w:pPr>
        <w:pStyle w:val="Heading5"/>
        <w:numPr>
          <w:ilvl w:val="2"/>
          <w:numId w:val="39"/>
        </w:numPr>
        <w:tabs>
          <w:tab w:val="left" w:pos="1641"/>
        </w:tabs>
        <w:jc w:val="both"/>
      </w:pPr>
      <w:r w:rsidRPr="003948BA">
        <w:t>Management of Fund</w:t>
      </w:r>
      <w:r w:rsidRPr="003948BA">
        <w:rPr>
          <w:spacing w:val="-2"/>
        </w:rPr>
        <w:t xml:space="preserve"> </w:t>
      </w:r>
      <w:r w:rsidRPr="003948BA">
        <w:t>Property</w:t>
      </w:r>
    </w:p>
    <w:p w:rsidR="005E5B48" w:rsidRPr="003948BA" w:rsidRDefault="00814043">
      <w:pPr>
        <w:pStyle w:val="BodyText"/>
        <w:spacing w:before="68"/>
        <w:ind w:left="920" w:right="1015"/>
        <w:jc w:val="both"/>
      </w:pPr>
      <w:r w:rsidRPr="003948BA">
        <w:t xml:space="preserve">The Management Company shall manage the Fund Property in the interest of the Unit Holders in good faith, to the best of its ability and without gaining any undue advantage for itself or any of its Connected Persons </w:t>
      </w:r>
      <w:r w:rsidRPr="003948BA">
        <w:rPr>
          <w:color w:val="211F1F"/>
        </w:rPr>
        <w:t>and group companies or its officers</w:t>
      </w:r>
      <w:r w:rsidRPr="003948BA">
        <w:t>, and subject to the restrictions and limitations as provided in the Deed and the Rules and Regulations. Any purchase or sale of investments made under any of the provisions of the Deed shall be made by the Trustee according to the instructions of the Management Company in this respect, unless such instructions are in conflict with the provisions of the Deed or the Rules and Regulations. The Management Company shall not be liable for any loss caused to the Trust or to the value of the Fund Property due to elements or circumstances beyond its reasonable control.</w:t>
      </w:r>
    </w:p>
    <w:p w:rsidR="005E5B48" w:rsidRPr="003948BA" w:rsidRDefault="005E5B48">
      <w:pPr>
        <w:pStyle w:val="BodyText"/>
        <w:spacing w:before="9"/>
        <w:rPr>
          <w:sz w:val="21"/>
        </w:rPr>
      </w:pPr>
    </w:p>
    <w:p w:rsidR="005E5B48" w:rsidRPr="003948BA" w:rsidRDefault="00814043">
      <w:pPr>
        <w:pStyle w:val="BodyText"/>
        <w:spacing w:before="1"/>
        <w:ind w:left="920" w:right="1010"/>
        <w:jc w:val="both"/>
      </w:pPr>
      <w:r w:rsidRPr="003948BA">
        <w:t xml:space="preserve">The Management Company shall comply with the provisions of the Regulations, the Deed and this Offering Document of the Scheme for any act or matter to be done by it in the performance of its duties and such acts or matters may also be performed on behalf of the Management Company by any officer(s) or responsible official(s) of the Management Company or by any nominee or agent appointed by the Management Company and any act or matter so performed shall be deemed for all the purposes of the Deed to be the act of the Management Company. The Management Company shall be responsible for the acts and omissions of all persons to whom it may delegate any of its functions, as if these were its own acts and omissions </w:t>
      </w:r>
      <w:r w:rsidRPr="003948BA">
        <w:rPr>
          <w:spacing w:val="1"/>
        </w:rPr>
        <w:t xml:space="preserve">and </w:t>
      </w:r>
      <w:r w:rsidRPr="003948BA">
        <w:t>shall account to the Trustee for any loss in value of the Trust Property where such loss has been caused by willful act and / or omission or of its officers, officials or</w:t>
      </w:r>
      <w:r w:rsidRPr="003948BA">
        <w:rPr>
          <w:spacing w:val="-13"/>
        </w:rPr>
        <w:t xml:space="preserve"> </w:t>
      </w:r>
      <w:r w:rsidRPr="003948BA">
        <w:t>agents.</w:t>
      </w:r>
    </w:p>
    <w:p w:rsidR="005E5B48" w:rsidRPr="003948BA" w:rsidRDefault="005E5B48">
      <w:pPr>
        <w:pStyle w:val="BodyText"/>
        <w:rPr>
          <w:sz w:val="22"/>
        </w:rPr>
      </w:pPr>
    </w:p>
    <w:p w:rsidR="005E5B48" w:rsidRPr="003948BA" w:rsidRDefault="00814043" w:rsidP="00A002A6">
      <w:pPr>
        <w:pStyle w:val="Heading5"/>
        <w:numPr>
          <w:ilvl w:val="2"/>
          <w:numId w:val="39"/>
        </w:numPr>
        <w:tabs>
          <w:tab w:val="left" w:pos="1641"/>
        </w:tabs>
        <w:jc w:val="both"/>
      </w:pPr>
      <w:r w:rsidRPr="003948BA">
        <w:t>Appointment of</w:t>
      </w:r>
      <w:r w:rsidRPr="003948BA">
        <w:rPr>
          <w:spacing w:val="-9"/>
        </w:rPr>
        <w:t xml:space="preserve"> </w:t>
      </w:r>
      <w:r w:rsidRPr="003948BA">
        <w:t>Distributors</w:t>
      </w:r>
    </w:p>
    <w:p w:rsidR="005E5B48" w:rsidRPr="003948BA" w:rsidRDefault="005E5B48">
      <w:pPr>
        <w:pStyle w:val="BodyText"/>
        <w:spacing w:before="7"/>
        <w:rPr>
          <w:b/>
          <w:sz w:val="27"/>
        </w:rPr>
      </w:pPr>
    </w:p>
    <w:p w:rsidR="005E5B48" w:rsidRPr="003948BA" w:rsidRDefault="00814043">
      <w:pPr>
        <w:pStyle w:val="BodyText"/>
        <w:spacing w:before="1"/>
        <w:ind w:left="920" w:right="1012"/>
        <w:jc w:val="both"/>
      </w:pPr>
      <w:r w:rsidRPr="003948BA">
        <w:t>The Management Company, shall from time to time under intimation to the Trustee appoint, remove or replace one or more suitable persons, entities or parties as Distributor(s) for carrying on Distribution Function(s) at one or more location(s) locally or internationally. The Management Company may also itself act as a Distributor for carrying on Distribution Functions and updated list of distributors would be available on official website of the Management</w:t>
      </w:r>
      <w:r w:rsidRPr="003948BA">
        <w:rPr>
          <w:spacing w:val="-22"/>
        </w:rPr>
        <w:t xml:space="preserve"> </w:t>
      </w:r>
      <w:r w:rsidRPr="003948BA">
        <w:t>Company.</w:t>
      </w:r>
    </w:p>
    <w:p w:rsidR="005E5B48" w:rsidRPr="003948BA" w:rsidRDefault="005E5B48">
      <w:pPr>
        <w:pStyle w:val="BodyText"/>
      </w:pPr>
    </w:p>
    <w:p w:rsidR="005E5B48" w:rsidRPr="003948BA" w:rsidRDefault="00814043">
      <w:pPr>
        <w:pStyle w:val="BodyText"/>
        <w:ind w:left="920"/>
        <w:jc w:val="both"/>
      </w:pPr>
      <w:r w:rsidRPr="003948BA">
        <w:t>The Management Company shall ensure, where it delegates the Distribution Function, that:</w:t>
      </w:r>
    </w:p>
    <w:p w:rsidR="005E5B48" w:rsidRPr="003948BA" w:rsidRDefault="005E5B48">
      <w:pPr>
        <w:pStyle w:val="BodyText"/>
        <w:spacing w:before="10"/>
        <w:rPr>
          <w:sz w:val="21"/>
        </w:rPr>
      </w:pPr>
    </w:p>
    <w:p w:rsidR="00902649" w:rsidRPr="003948BA" w:rsidRDefault="00902649" w:rsidP="00A002A6">
      <w:pPr>
        <w:pStyle w:val="ListParagraph"/>
        <w:numPr>
          <w:ilvl w:val="0"/>
          <w:numId w:val="36"/>
        </w:numPr>
        <w:tabs>
          <w:tab w:val="left" w:pos="1461"/>
        </w:tabs>
        <w:spacing w:before="1"/>
        <w:ind w:right="1026"/>
        <w:jc w:val="both"/>
        <w:rPr>
          <w:sz w:val="20"/>
        </w:rPr>
      </w:pPr>
      <w:r w:rsidRPr="003948BA">
        <w:rPr>
          <w:sz w:val="20"/>
        </w:rPr>
        <w:t>The Distributors to whom it delegates have the required license from Securities and Exchange Commission of Pakistan (SECP) as required under Securities and Future Advisers (Licensing and Operations) Regulations, 2017 and shall maintain the registration and abide by all applicable requirements as issued by SECP from time to time.</w:t>
      </w:r>
    </w:p>
    <w:p w:rsidR="005E5B48" w:rsidRPr="003948BA" w:rsidRDefault="00902649" w:rsidP="00A002A6">
      <w:pPr>
        <w:pStyle w:val="ListParagraph"/>
        <w:numPr>
          <w:ilvl w:val="0"/>
          <w:numId w:val="36"/>
        </w:numPr>
        <w:tabs>
          <w:tab w:val="left" w:pos="1461"/>
        </w:tabs>
        <w:spacing w:before="1"/>
        <w:ind w:right="1026"/>
        <w:jc w:val="both"/>
        <w:rPr>
          <w:sz w:val="20"/>
        </w:rPr>
      </w:pPr>
      <w:r w:rsidRPr="003948BA">
        <w:rPr>
          <w:sz w:val="20"/>
        </w:rPr>
        <w:t>The Distributor where selling Mutual Fund Units of single AMC shall comply and abide by all applicable requirements as issued by SECP from time to time.</w:t>
      </w:r>
    </w:p>
    <w:p w:rsidR="005E5B48" w:rsidRPr="003948BA" w:rsidRDefault="005E5B48">
      <w:pPr>
        <w:pStyle w:val="BodyText"/>
        <w:spacing w:before="1"/>
      </w:pPr>
    </w:p>
    <w:p w:rsidR="001A445F" w:rsidRPr="003948BA" w:rsidRDefault="00452737" w:rsidP="00A002A6">
      <w:pPr>
        <w:pStyle w:val="ListParagraph"/>
        <w:numPr>
          <w:ilvl w:val="0"/>
          <w:numId w:val="36"/>
        </w:numPr>
        <w:tabs>
          <w:tab w:val="left" w:pos="1460"/>
          <w:tab w:val="left" w:pos="1461"/>
        </w:tabs>
        <w:ind w:right="1043"/>
        <w:rPr>
          <w:sz w:val="20"/>
        </w:rPr>
      </w:pPr>
      <w:r w:rsidRPr="003948BA">
        <w:rPr>
          <w:sz w:val="20"/>
        </w:rPr>
        <w:t>T</w:t>
      </w:r>
      <w:r w:rsidR="00814043" w:rsidRPr="003948BA">
        <w:rPr>
          <w:sz w:val="20"/>
        </w:rPr>
        <w:t>he</w:t>
      </w:r>
      <w:r w:rsidR="00814043" w:rsidRPr="003948BA">
        <w:rPr>
          <w:spacing w:val="-2"/>
          <w:sz w:val="20"/>
        </w:rPr>
        <w:t xml:space="preserve"> </w:t>
      </w:r>
      <w:r w:rsidR="00814043" w:rsidRPr="003948BA">
        <w:rPr>
          <w:sz w:val="20"/>
        </w:rPr>
        <w:t>written</w:t>
      </w:r>
      <w:r w:rsidR="00814043" w:rsidRPr="003948BA">
        <w:rPr>
          <w:spacing w:val="-2"/>
          <w:sz w:val="20"/>
        </w:rPr>
        <w:t xml:space="preserve"> </w:t>
      </w:r>
      <w:r w:rsidR="00814043" w:rsidRPr="003948BA">
        <w:rPr>
          <w:sz w:val="20"/>
        </w:rPr>
        <w:t>contract</w:t>
      </w:r>
      <w:r w:rsidR="00814043" w:rsidRPr="003948BA">
        <w:rPr>
          <w:spacing w:val="-2"/>
          <w:sz w:val="20"/>
        </w:rPr>
        <w:t xml:space="preserve"> </w:t>
      </w:r>
      <w:r w:rsidR="00814043" w:rsidRPr="003948BA">
        <w:rPr>
          <w:sz w:val="20"/>
        </w:rPr>
        <w:t>with</w:t>
      </w:r>
      <w:r w:rsidR="00814043" w:rsidRPr="003948BA">
        <w:rPr>
          <w:spacing w:val="-2"/>
          <w:sz w:val="20"/>
        </w:rPr>
        <w:t xml:space="preserve"> </w:t>
      </w:r>
      <w:r w:rsidR="00814043" w:rsidRPr="003948BA">
        <w:rPr>
          <w:sz w:val="20"/>
        </w:rPr>
        <w:t>the</w:t>
      </w:r>
      <w:r w:rsidR="00814043" w:rsidRPr="003948BA">
        <w:rPr>
          <w:spacing w:val="-2"/>
          <w:sz w:val="20"/>
        </w:rPr>
        <w:t xml:space="preserve"> </w:t>
      </w:r>
      <w:r w:rsidR="00814043" w:rsidRPr="003948BA">
        <w:rPr>
          <w:sz w:val="20"/>
        </w:rPr>
        <w:t>Distributors</w:t>
      </w:r>
      <w:r w:rsidR="00814043" w:rsidRPr="003948BA">
        <w:rPr>
          <w:spacing w:val="-3"/>
          <w:sz w:val="20"/>
        </w:rPr>
        <w:t xml:space="preserve"> </w:t>
      </w:r>
      <w:r w:rsidR="00814043" w:rsidRPr="003948BA">
        <w:rPr>
          <w:sz w:val="20"/>
        </w:rPr>
        <w:t>clearly</w:t>
      </w:r>
      <w:r w:rsidR="00814043" w:rsidRPr="003948BA">
        <w:rPr>
          <w:spacing w:val="-7"/>
          <w:sz w:val="20"/>
        </w:rPr>
        <w:t xml:space="preserve"> </w:t>
      </w:r>
      <w:r w:rsidR="00814043" w:rsidRPr="003948BA">
        <w:rPr>
          <w:sz w:val="20"/>
        </w:rPr>
        <w:t>states</w:t>
      </w:r>
      <w:r w:rsidR="00814043" w:rsidRPr="003948BA">
        <w:rPr>
          <w:spacing w:val="-3"/>
          <w:sz w:val="20"/>
        </w:rPr>
        <w:t xml:space="preserve"> </w:t>
      </w:r>
      <w:r w:rsidR="00814043" w:rsidRPr="003948BA">
        <w:rPr>
          <w:sz w:val="20"/>
        </w:rPr>
        <w:t>the</w:t>
      </w:r>
      <w:r w:rsidR="00814043" w:rsidRPr="003948BA">
        <w:rPr>
          <w:spacing w:val="-4"/>
          <w:sz w:val="20"/>
        </w:rPr>
        <w:t xml:space="preserve"> </w:t>
      </w:r>
      <w:r w:rsidR="00814043" w:rsidRPr="003948BA">
        <w:rPr>
          <w:sz w:val="20"/>
        </w:rPr>
        <w:t>terms</w:t>
      </w:r>
      <w:r w:rsidR="00814043" w:rsidRPr="003948BA">
        <w:rPr>
          <w:spacing w:val="-3"/>
          <w:sz w:val="20"/>
        </w:rPr>
        <w:t xml:space="preserve"> </w:t>
      </w:r>
      <w:r w:rsidR="00814043" w:rsidRPr="003948BA">
        <w:rPr>
          <w:sz w:val="20"/>
        </w:rPr>
        <w:t>and</w:t>
      </w:r>
      <w:r w:rsidR="00814043" w:rsidRPr="003948BA">
        <w:rPr>
          <w:spacing w:val="-4"/>
          <w:sz w:val="20"/>
        </w:rPr>
        <w:t xml:space="preserve"> </w:t>
      </w:r>
      <w:r w:rsidR="00814043" w:rsidRPr="003948BA">
        <w:rPr>
          <w:sz w:val="20"/>
        </w:rPr>
        <w:t>conditions</w:t>
      </w:r>
      <w:r w:rsidR="00814043" w:rsidRPr="003948BA">
        <w:rPr>
          <w:spacing w:val="-3"/>
          <w:sz w:val="20"/>
        </w:rPr>
        <w:t xml:space="preserve"> </w:t>
      </w:r>
      <w:r w:rsidR="00814043" w:rsidRPr="003948BA">
        <w:rPr>
          <w:sz w:val="20"/>
        </w:rPr>
        <w:t>for</w:t>
      </w:r>
      <w:r w:rsidR="00814043" w:rsidRPr="003948BA">
        <w:rPr>
          <w:spacing w:val="-20"/>
          <w:sz w:val="20"/>
        </w:rPr>
        <w:t xml:space="preserve"> </w:t>
      </w:r>
      <w:r w:rsidR="00814043" w:rsidRPr="003948BA">
        <w:rPr>
          <w:sz w:val="20"/>
        </w:rPr>
        <w:t>avoidance of frauds and sales based upon misleading</w:t>
      </w:r>
      <w:r w:rsidR="00814043" w:rsidRPr="003948BA">
        <w:rPr>
          <w:spacing w:val="-5"/>
          <w:sz w:val="20"/>
        </w:rPr>
        <w:t xml:space="preserve"> </w:t>
      </w:r>
      <w:r w:rsidR="00814043" w:rsidRPr="003948BA">
        <w:rPr>
          <w:sz w:val="20"/>
        </w:rPr>
        <w:t>information</w:t>
      </w:r>
    </w:p>
    <w:p w:rsidR="005E5B48" w:rsidRPr="003948BA" w:rsidRDefault="005E5B48" w:rsidP="00765E07"/>
    <w:p w:rsidR="005E5B48" w:rsidRPr="003948BA" w:rsidRDefault="00814043" w:rsidP="00A002A6">
      <w:pPr>
        <w:pStyle w:val="Heading5"/>
        <w:numPr>
          <w:ilvl w:val="2"/>
          <w:numId w:val="39"/>
        </w:numPr>
        <w:tabs>
          <w:tab w:val="left" w:pos="1641"/>
        </w:tabs>
        <w:jc w:val="both"/>
      </w:pPr>
      <w:r w:rsidRPr="003948BA">
        <w:t>Appointment of Investment</w:t>
      </w:r>
      <w:r w:rsidRPr="003948BA">
        <w:rPr>
          <w:spacing w:val="-9"/>
        </w:rPr>
        <w:t xml:space="preserve"> </w:t>
      </w:r>
      <w:r w:rsidRPr="003948BA">
        <w:t>Facilitator</w:t>
      </w:r>
    </w:p>
    <w:p w:rsidR="005E5B48" w:rsidRPr="003948BA" w:rsidRDefault="005E5B48">
      <w:pPr>
        <w:pStyle w:val="BodyText"/>
        <w:spacing w:before="9"/>
        <w:rPr>
          <w:b/>
          <w:sz w:val="27"/>
        </w:rPr>
      </w:pPr>
    </w:p>
    <w:p w:rsidR="005E5B48" w:rsidRPr="003948BA" w:rsidRDefault="00814043" w:rsidP="001A445F">
      <w:pPr>
        <w:pStyle w:val="BodyText"/>
        <w:ind w:left="920" w:right="1016"/>
        <w:jc w:val="both"/>
      </w:pPr>
      <w:r w:rsidRPr="003948BA">
        <w:t>The Management Company may, at its own responsibility &amp; cost, from time to time appoint Investment Facilitators to assist it in promoting sales of Units. An update list of investment facilitators appointed by the Management Company shall be made available at all times on the</w:t>
      </w:r>
      <w:r w:rsidR="001A445F" w:rsidRPr="003948BA">
        <w:t xml:space="preserve"> </w:t>
      </w:r>
      <w:r w:rsidRPr="003948BA">
        <w:t>websites of the Management Company.</w:t>
      </w:r>
    </w:p>
    <w:p w:rsidR="005E5B48" w:rsidRPr="003948BA" w:rsidRDefault="005E5B48">
      <w:pPr>
        <w:pStyle w:val="BodyText"/>
        <w:spacing w:before="3"/>
      </w:pPr>
    </w:p>
    <w:p w:rsidR="005E5B48" w:rsidRPr="003948BA" w:rsidRDefault="00814043">
      <w:pPr>
        <w:pStyle w:val="BodyText"/>
        <w:ind w:left="920"/>
      </w:pPr>
      <w:r w:rsidRPr="003948BA">
        <w:t>The Management Company shall ensure, where it appoints the investment facilitator, that:</w:t>
      </w:r>
    </w:p>
    <w:p w:rsidR="005E5B48" w:rsidRPr="003948BA" w:rsidRDefault="005E5B48">
      <w:pPr>
        <w:pStyle w:val="BodyText"/>
        <w:rPr>
          <w:sz w:val="22"/>
        </w:rPr>
      </w:pPr>
    </w:p>
    <w:p w:rsidR="00902649" w:rsidRPr="003948BA" w:rsidRDefault="00902649" w:rsidP="00A002A6">
      <w:pPr>
        <w:pStyle w:val="ListParagraph"/>
        <w:numPr>
          <w:ilvl w:val="0"/>
          <w:numId w:val="35"/>
        </w:numPr>
        <w:tabs>
          <w:tab w:val="left" w:pos="1461"/>
        </w:tabs>
        <w:spacing w:before="1"/>
        <w:ind w:right="1026"/>
        <w:jc w:val="both"/>
        <w:rPr>
          <w:sz w:val="20"/>
        </w:rPr>
      </w:pPr>
      <w:r w:rsidRPr="003948BA">
        <w:rPr>
          <w:sz w:val="20"/>
        </w:rPr>
        <w:t>The Distributors to whom it delegates have the required license from Securities and Exchange Commission of Pakistan (SECP) as required under Securities and Future Advisers (Licensing and Operations) Regulations, 2017 and shall maintain the registration and abide by all applicable requirements as issued by SECP from time to time.</w:t>
      </w:r>
    </w:p>
    <w:p w:rsidR="005E5B48" w:rsidRPr="003948BA" w:rsidRDefault="00902649" w:rsidP="00A002A6">
      <w:pPr>
        <w:pStyle w:val="ListParagraph"/>
        <w:numPr>
          <w:ilvl w:val="0"/>
          <w:numId w:val="35"/>
        </w:numPr>
        <w:tabs>
          <w:tab w:val="left" w:pos="1372"/>
        </w:tabs>
        <w:ind w:right="1010"/>
        <w:jc w:val="both"/>
        <w:rPr>
          <w:sz w:val="20"/>
        </w:rPr>
      </w:pPr>
      <w:r w:rsidRPr="003948BA">
        <w:rPr>
          <w:sz w:val="20"/>
        </w:rPr>
        <w:t>The Distributor where selling Mutual Fund Units of single AMC shall comply and abide by all applicable requirements as issued by SECP from time to time.</w:t>
      </w:r>
    </w:p>
    <w:p w:rsidR="005E5B48" w:rsidRPr="003948BA" w:rsidRDefault="005E5B48">
      <w:pPr>
        <w:pStyle w:val="BodyText"/>
        <w:spacing w:before="9"/>
        <w:rPr>
          <w:sz w:val="21"/>
        </w:rPr>
      </w:pPr>
    </w:p>
    <w:p w:rsidR="005E5B48" w:rsidRPr="003948BA" w:rsidRDefault="00902649" w:rsidP="00A002A6">
      <w:pPr>
        <w:pStyle w:val="ListParagraph"/>
        <w:numPr>
          <w:ilvl w:val="0"/>
          <w:numId w:val="35"/>
        </w:numPr>
        <w:tabs>
          <w:tab w:val="left" w:pos="1371"/>
          <w:tab w:val="left" w:pos="1372"/>
        </w:tabs>
        <w:ind w:right="1256" w:hanging="451"/>
        <w:rPr>
          <w:sz w:val="20"/>
        </w:rPr>
      </w:pPr>
      <w:r w:rsidRPr="003948BA">
        <w:rPr>
          <w:sz w:val="20"/>
        </w:rPr>
        <w:lastRenderedPageBreak/>
        <w:t xml:space="preserve">The </w:t>
      </w:r>
      <w:r w:rsidR="00814043" w:rsidRPr="003948BA">
        <w:rPr>
          <w:sz w:val="20"/>
        </w:rPr>
        <w:t>written contract with the Investment facilitator clearly states the terms and conditions for avoidance of frauds and sales based upon misleading</w:t>
      </w:r>
      <w:r w:rsidR="00814043" w:rsidRPr="003948BA">
        <w:rPr>
          <w:spacing w:val="-21"/>
          <w:sz w:val="20"/>
        </w:rPr>
        <w:t xml:space="preserve"> </w:t>
      </w:r>
      <w:r w:rsidR="00814043" w:rsidRPr="003948BA">
        <w:rPr>
          <w:sz w:val="20"/>
        </w:rPr>
        <w:t>information</w:t>
      </w:r>
    </w:p>
    <w:p w:rsidR="005E5B48" w:rsidRPr="003948BA" w:rsidRDefault="005E5B48">
      <w:pPr>
        <w:pStyle w:val="BodyText"/>
        <w:rPr>
          <w:sz w:val="22"/>
        </w:rPr>
      </w:pPr>
    </w:p>
    <w:p w:rsidR="005E5B48" w:rsidRPr="003948BA" w:rsidRDefault="005E5B48">
      <w:pPr>
        <w:pStyle w:val="BodyText"/>
        <w:spacing w:before="3"/>
        <w:rPr>
          <w:sz w:val="21"/>
        </w:rPr>
      </w:pPr>
    </w:p>
    <w:p w:rsidR="005E5B48" w:rsidRPr="003948BA" w:rsidRDefault="00814043" w:rsidP="00A002A6">
      <w:pPr>
        <w:pStyle w:val="Heading5"/>
        <w:numPr>
          <w:ilvl w:val="2"/>
          <w:numId w:val="39"/>
        </w:numPr>
        <w:tabs>
          <w:tab w:val="left" w:pos="1731"/>
          <w:tab w:val="left" w:pos="1732"/>
        </w:tabs>
        <w:ind w:left="1731" w:hanging="811"/>
      </w:pPr>
      <w:r w:rsidRPr="003948BA">
        <w:t>Maintenance of Accounts and</w:t>
      </w:r>
      <w:r w:rsidRPr="003948BA">
        <w:rPr>
          <w:spacing w:val="-11"/>
        </w:rPr>
        <w:t xml:space="preserve"> </w:t>
      </w:r>
      <w:r w:rsidRPr="003948BA">
        <w:t>Records</w:t>
      </w:r>
    </w:p>
    <w:p w:rsidR="005E5B48" w:rsidRPr="003948BA" w:rsidRDefault="00814043">
      <w:pPr>
        <w:pStyle w:val="BodyText"/>
        <w:spacing w:before="78"/>
        <w:ind w:left="1551" w:right="1004"/>
        <w:jc w:val="both"/>
      </w:pPr>
      <w:r w:rsidRPr="003948BA">
        <w:t>The Management Company shall maintain at its principal office, complete and proper accounts and records to enable a complete and accurate view to be formed of the assets and liabilities and the income and expenditure of the Scheme, all transactions for the account of the Scheme, amounts received by the Scheme in respect of issue of Units, payments made from the Scheme on redemption of the Units and by way of distributions and payments made at the termination of the Scheme. The Management Company shall maintain the books of accounts and other records of the Scheme for a period of not less than ten years.</w:t>
      </w:r>
    </w:p>
    <w:p w:rsidR="005E5B48" w:rsidRPr="003948BA" w:rsidRDefault="005E5B48">
      <w:pPr>
        <w:pStyle w:val="BodyText"/>
        <w:spacing w:before="1"/>
      </w:pPr>
    </w:p>
    <w:p w:rsidR="005E5B48" w:rsidRPr="003948BA" w:rsidRDefault="00814043">
      <w:pPr>
        <w:pStyle w:val="BodyText"/>
        <w:spacing w:before="1"/>
        <w:ind w:left="1551" w:right="1002"/>
        <w:jc w:val="both"/>
      </w:pPr>
      <w:r w:rsidRPr="003948BA">
        <w:t>The Management Company shall ensure that no entry and exit from the Scheme (including redemption and re-issuance of Units to the same Unit Holders on different NAVs) shall be allowed other than the following manners, unless permitted otherwise by the Commission under the Regulations:</w:t>
      </w:r>
    </w:p>
    <w:p w:rsidR="005E5B48" w:rsidRPr="003948BA" w:rsidRDefault="005E5B48">
      <w:pPr>
        <w:pStyle w:val="BodyText"/>
        <w:spacing w:before="11"/>
        <w:rPr>
          <w:sz w:val="19"/>
        </w:rPr>
      </w:pPr>
    </w:p>
    <w:p w:rsidR="005E5B48" w:rsidRPr="003948BA" w:rsidRDefault="00814043" w:rsidP="00A002A6">
      <w:pPr>
        <w:pStyle w:val="ListParagraph"/>
        <w:numPr>
          <w:ilvl w:val="0"/>
          <w:numId w:val="34"/>
        </w:numPr>
        <w:tabs>
          <w:tab w:val="left" w:pos="1551"/>
          <w:tab w:val="left" w:pos="1552"/>
        </w:tabs>
        <w:rPr>
          <w:sz w:val="20"/>
        </w:rPr>
      </w:pPr>
      <w:r w:rsidRPr="003948BA">
        <w:rPr>
          <w:sz w:val="20"/>
        </w:rPr>
        <w:t>cash settled transaction based on the formal issuance and redemption</w:t>
      </w:r>
      <w:r w:rsidRPr="003948BA">
        <w:rPr>
          <w:spacing w:val="-33"/>
          <w:sz w:val="20"/>
        </w:rPr>
        <w:t xml:space="preserve"> </w:t>
      </w:r>
      <w:r w:rsidRPr="003948BA">
        <w:rPr>
          <w:sz w:val="20"/>
        </w:rPr>
        <w:t>requests</w:t>
      </w:r>
    </w:p>
    <w:p w:rsidR="005E5B48" w:rsidRPr="003948BA" w:rsidRDefault="00814043" w:rsidP="00A002A6">
      <w:pPr>
        <w:pStyle w:val="ListParagraph"/>
        <w:numPr>
          <w:ilvl w:val="0"/>
          <w:numId w:val="34"/>
        </w:numPr>
        <w:tabs>
          <w:tab w:val="left" w:pos="1552"/>
        </w:tabs>
        <w:ind w:right="1011"/>
        <w:jc w:val="both"/>
        <w:rPr>
          <w:sz w:val="20"/>
        </w:rPr>
      </w:pPr>
      <w:r w:rsidRPr="003948BA">
        <w:rPr>
          <w:sz w:val="20"/>
        </w:rPr>
        <w:t>net off issuance and redemption transaction at same net asset value when redemption request is ready to disburse and rank at the top in the list of pending redemption requests (if any).</w:t>
      </w:r>
    </w:p>
    <w:p w:rsidR="005E5B48" w:rsidRPr="003948BA" w:rsidRDefault="005E5B48">
      <w:pPr>
        <w:pStyle w:val="BodyText"/>
        <w:spacing w:before="10"/>
        <w:rPr>
          <w:sz w:val="21"/>
        </w:rPr>
      </w:pPr>
    </w:p>
    <w:p w:rsidR="005E5B48" w:rsidRPr="003948BA" w:rsidRDefault="00814043">
      <w:pPr>
        <w:pStyle w:val="BodyText"/>
        <w:ind w:left="1551" w:right="1001"/>
        <w:jc w:val="both"/>
      </w:pPr>
      <w:r w:rsidRPr="003948BA">
        <w:t>The Management Company shall clearly specify Cut-Off Timings (for acceptance of application forms of issuance, redemption, and conversion of Units of the Scheme) in this Offering Document, on its web site and at designated points. Such Cut-Off Timing shall uniformly apply on all Unit Holders.</w:t>
      </w:r>
    </w:p>
    <w:p w:rsidR="005E5B48" w:rsidRPr="003948BA" w:rsidRDefault="005E5B48">
      <w:pPr>
        <w:pStyle w:val="BodyText"/>
        <w:spacing w:before="3"/>
        <w:rPr>
          <w:sz w:val="22"/>
        </w:rPr>
      </w:pPr>
    </w:p>
    <w:p w:rsidR="005E5B48" w:rsidRPr="003948BA" w:rsidRDefault="00814043">
      <w:pPr>
        <w:pStyle w:val="BodyText"/>
        <w:ind w:left="1551" w:right="1010"/>
        <w:jc w:val="both"/>
      </w:pPr>
      <w:r w:rsidRPr="003948BA">
        <w:t>The Management Company shall ensure all valid redemption request are paid based on ranking of the request in a queue.</w:t>
      </w:r>
    </w:p>
    <w:p w:rsidR="005E5B48" w:rsidRPr="003948BA" w:rsidRDefault="005E5B48">
      <w:pPr>
        <w:pStyle w:val="BodyText"/>
        <w:spacing w:before="8"/>
        <w:rPr>
          <w:sz w:val="31"/>
        </w:rPr>
      </w:pPr>
    </w:p>
    <w:p w:rsidR="005E5B48" w:rsidRPr="003948BA" w:rsidRDefault="00814043" w:rsidP="00A002A6">
      <w:pPr>
        <w:pStyle w:val="Heading5"/>
        <w:numPr>
          <w:ilvl w:val="1"/>
          <w:numId w:val="33"/>
        </w:numPr>
        <w:tabs>
          <w:tab w:val="left" w:pos="1551"/>
          <w:tab w:val="left" w:pos="1552"/>
        </w:tabs>
        <w:ind w:hanging="631"/>
      </w:pPr>
      <w:bookmarkStart w:id="33" w:name="_bookmark29"/>
      <w:bookmarkEnd w:id="33"/>
      <w:r w:rsidRPr="003948BA">
        <w:t>Maintenance of Unit Holders</w:t>
      </w:r>
      <w:r w:rsidRPr="003948BA">
        <w:rPr>
          <w:spacing w:val="-5"/>
        </w:rPr>
        <w:t xml:space="preserve"> </w:t>
      </w:r>
      <w:r w:rsidRPr="003948BA">
        <w:t>Register</w:t>
      </w:r>
    </w:p>
    <w:p w:rsidR="005E5B48" w:rsidRPr="003948BA" w:rsidRDefault="005E5B48">
      <w:pPr>
        <w:pStyle w:val="BodyText"/>
        <w:spacing w:before="3"/>
        <w:rPr>
          <w:b/>
        </w:rPr>
      </w:pPr>
    </w:p>
    <w:p w:rsidR="005E5B48" w:rsidRPr="003948BA" w:rsidRDefault="00814043" w:rsidP="00A002A6">
      <w:pPr>
        <w:pStyle w:val="ListParagraph"/>
        <w:numPr>
          <w:ilvl w:val="2"/>
          <w:numId w:val="33"/>
        </w:numPr>
        <w:tabs>
          <w:tab w:val="left" w:pos="1552"/>
        </w:tabs>
        <w:spacing w:before="1"/>
        <w:ind w:right="1013" w:hanging="631"/>
        <w:jc w:val="both"/>
        <w:rPr>
          <w:sz w:val="20"/>
        </w:rPr>
      </w:pPr>
      <w:r w:rsidRPr="003948BA">
        <w:rPr>
          <w:sz w:val="20"/>
        </w:rPr>
        <w:t>A Register of Unit Holders may be maintained by the Management Company itself or such other company, as the Management Company may appoint after giving prior notice to the Unit</w:t>
      </w:r>
      <w:r w:rsidRPr="003948BA">
        <w:rPr>
          <w:spacing w:val="-7"/>
          <w:sz w:val="20"/>
        </w:rPr>
        <w:t xml:space="preserve"> </w:t>
      </w:r>
      <w:r w:rsidRPr="003948BA">
        <w:rPr>
          <w:sz w:val="20"/>
        </w:rPr>
        <w:t>Holders.</w:t>
      </w:r>
    </w:p>
    <w:p w:rsidR="005E5B48" w:rsidRPr="003948BA" w:rsidRDefault="005E5B48">
      <w:pPr>
        <w:pStyle w:val="BodyText"/>
        <w:spacing w:before="8"/>
      </w:pPr>
    </w:p>
    <w:p w:rsidR="005E5B48" w:rsidRPr="003948BA" w:rsidRDefault="00814043" w:rsidP="00A002A6">
      <w:pPr>
        <w:pStyle w:val="ListParagraph"/>
        <w:numPr>
          <w:ilvl w:val="2"/>
          <w:numId w:val="33"/>
        </w:numPr>
        <w:tabs>
          <w:tab w:val="left" w:pos="1552"/>
        </w:tabs>
        <w:spacing w:before="1" w:line="242" w:lineRule="auto"/>
        <w:ind w:right="1007" w:hanging="631"/>
        <w:jc w:val="both"/>
        <w:rPr>
          <w:sz w:val="20"/>
        </w:rPr>
      </w:pPr>
      <w:r w:rsidRPr="003948BA">
        <w:rPr>
          <w:sz w:val="20"/>
        </w:rPr>
        <w:t xml:space="preserve">The office of the Transfer Agent is located at </w:t>
      </w:r>
      <w:r w:rsidRPr="003948BA">
        <w:rPr>
          <w:b/>
          <w:sz w:val="20"/>
        </w:rPr>
        <w:t>UBL Fund Managers – Operations Office, 4</w:t>
      </w:r>
      <w:r w:rsidRPr="003948BA">
        <w:rPr>
          <w:b/>
          <w:sz w:val="20"/>
          <w:vertAlign w:val="superscript"/>
        </w:rPr>
        <w:t>th</w:t>
      </w:r>
      <w:r w:rsidRPr="003948BA">
        <w:rPr>
          <w:b/>
          <w:sz w:val="20"/>
        </w:rPr>
        <w:t xml:space="preserve"> Floor, STSM Building, Beaumont Road, Civil Lines, Karachi, Pakistan, </w:t>
      </w:r>
      <w:r w:rsidRPr="003948BA">
        <w:rPr>
          <w:sz w:val="20"/>
        </w:rPr>
        <w:t>where Register of Unit Holder will</w:t>
      </w:r>
      <w:r w:rsidRPr="003948BA">
        <w:rPr>
          <w:spacing w:val="-7"/>
          <w:sz w:val="20"/>
        </w:rPr>
        <w:t xml:space="preserve"> </w:t>
      </w:r>
      <w:r w:rsidRPr="003948BA">
        <w:rPr>
          <w:sz w:val="20"/>
        </w:rPr>
        <w:t>maintain.</w:t>
      </w:r>
    </w:p>
    <w:p w:rsidR="005E5B48" w:rsidRPr="003948BA" w:rsidRDefault="005E5B48">
      <w:pPr>
        <w:pStyle w:val="BodyText"/>
        <w:spacing w:before="1"/>
      </w:pPr>
    </w:p>
    <w:p w:rsidR="005E5B48" w:rsidRPr="003948BA" w:rsidRDefault="00814043" w:rsidP="00A002A6">
      <w:pPr>
        <w:pStyle w:val="ListParagraph"/>
        <w:numPr>
          <w:ilvl w:val="2"/>
          <w:numId w:val="33"/>
        </w:numPr>
        <w:tabs>
          <w:tab w:val="left" w:pos="1552"/>
        </w:tabs>
        <w:ind w:right="1013" w:hanging="631"/>
        <w:jc w:val="both"/>
        <w:rPr>
          <w:sz w:val="20"/>
        </w:rPr>
      </w:pPr>
      <w:r w:rsidRPr="003948BA">
        <w:rPr>
          <w:sz w:val="20"/>
        </w:rPr>
        <w:t xml:space="preserve">Every Unit Holder will have a separate Registration Number. The Management Company shall use such Registration Number for recording Units held </w:t>
      </w:r>
      <w:r w:rsidR="00F137A1" w:rsidRPr="003948BA">
        <w:rPr>
          <w:sz w:val="20"/>
        </w:rPr>
        <w:t>by the Unit Holder. Unit Holder’</w:t>
      </w:r>
      <w:r w:rsidRPr="003948BA">
        <w:rPr>
          <w:sz w:val="20"/>
        </w:rPr>
        <w:t>s account identified by the registration number will reflect all the transactions in that account held by such Unit</w:t>
      </w:r>
      <w:r w:rsidRPr="003948BA">
        <w:rPr>
          <w:spacing w:val="-21"/>
          <w:sz w:val="20"/>
        </w:rPr>
        <w:t xml:space="preserve"> </w:t>
      </w:r>
      <w:r w:rsidRPr="003948BA">
        <w:rPr>
          <w:sz w:val="20"/>
        </w:rPr>
        <w:t>Holder.</w:t>
      </w:r>
    </w:p>
    <w:p w:rsidR="005E5B48" w:rsidRPr="003948BA" w:rsidRDefault="005E5B48">
      <w:pPr>
        <w:pStyle w:val="BodyText"/>
        <w:spacing w:before="8"/>
      </w:pPr>
    </w:p>
    <w:p w:rsidR="005E5B48" w:rsidRPr="003948BA" w:rsidRDefault="00814043" w:rsidP="00A002A6">
      <w:pPr>
        <w:pStyle w:val="Heading5"/>
        <w:numPr>
          <w:ilvl w:val="2"/>
          <w:numId w:val="33"/>
        </w:numPr>
        <w:tabs>
          <w:tab w:val="left" w:pos="1640"/>
          <w:tab w:val="left" w:pos="1641"/>
        </w:tabs>
        <w:ind w:left="1640" w:hanging="720"/>
      </w:pPr>
      <w:r w:rsidRPr="003948BA">
        <w:t>Disclaimer</w:t>
      </w:r>
    </w:p>
    <w:p w:rsidR="005E5B48" w:rsidRPr="003948BA" w:rsidRDefault="005E5B48">
      <w:pPr>
        <w:pStyle w:val="BodyText"/>
        <w:spacing w:before="6"/>
        <w:rPr>
          <w:b/>
          <w:sz w:val="27"/>
        </w:rPr>
      </w:pPr>
    </w:p>
    <w:p w:rsidR="005E5B48" w:rsidRPr="003948BA" w:rsidRDefault="00814043" w:rsidP="001A445F">
      <w:pPr>
        <w:pStyle w:val="BodyText"/>
        <w:spacing w:before="1"/>
        <w:ind w:left="1551" w:right="1012"/>
        <w:jc w:val="both"/>
      </w:pPr>
      <w:r w:rsidRPr="003948BA">
        <w:t>The Management Company shall not be under any liability except such liability as may be expressly assumed by it under the Rules, Regulations and the Constitutive Documents, nor shall the Management Company (save as herein otherwise provided) be liable for any act or omission of the Trustee nor for anything except for its own gross negligence or willful breach of duty and the acts and omissions of all persons to whom it may delegate any of</w:t>
      </w:r>
      <w:r w:rsidRPr="003948BA">
        <w:rPr>
          <w:spacing w:val="20"/>
        </w:rPr>
        <w:t xml:space="preserve"> </w:t>
      </w:r>
      <w:r w:rsidRPr="003948BA">
        <w:t>its</w:t>
      </w:r>
      <w:r w:rsidR="001A445F" w:rsidRPr="003948BA">
        <w:t xml:space="preserve"> </w:t>
      </w:r>
      <w:r w:rsidRPr="003948BA">
        <w:t>functions as manager as if they were its own acts and omissions. If for any reason it becomes impossible or impracticable to carry out the provisions of the Constitutive Documents, the Management Company shall not be under any liability therefore or thereby and it shall not incur any liability by reason of any error of law or any matter or thing done or suffered or omitted to be done in good faith hereunder.</w:t>
      </w:r>
    </w:p>
    <w:p w:rsidR="005E5B48" w:rsidRPr="003948BA" w:rsidRDefault="005E5B48">
      <w:pPr>
        <w:pStyle w:val="BodyText"/>
        <w:spacing w:before="5"/>
        <w:rPr>
          <w:sz w:val="31"/>
        </w:rPr>
      </w:pPr>
    </w:p>
    <w:p w:rsidR="005E5B48" w:rsidRPr="003948BA" w:rsidRDefault="00814043" w:rsidP="00A002A6">
      <w:pPr>
        <w:pStyle w:val="Heading5"/>
        <w:numPr>
          <w:ilvl w:val="1"/>
          <w:numId w:val="32"/>
        </w:numPr>
        <w:tabs>
          <w:tab w:val="left" w:pos="1551"/>
          <w:tab w:val="left" w:pos="1552"/>
        </w:tabs>
        <w:spacing w:before="1"/>
        <w:ind w:hanging="631"/>
      </w:pPr>
      <w:bookmarkStart w:id="34" w:name="_bookmark30"/>
      <w:bookmarkEnd w:id="34"/>
      <w:r w:rsidRPr="003948BA">
        <w:lastRenderedPageBreak/>
        <w:t>Role of the</w:t>
      </w:r>
      <w:r w:rsidRPr="003948BA">
        <w:rPr>
          <w:spacing w:val="-9"/>
        </w:rPr>
        <w:t xml:space="preserve"> </w:t>
      </w:r>
      <w:r w:rsidRPr="003948BA">
        <w:t>Trustee</w:t>
      </w:r>
    </w:p>
    <w:p w:rsidR="005E5B48" w:rsidRPr="003948BA" w:rsidRDefault="005E5B48">
      <w:pPr>
        <w:pStyle w:val="BodyText"/>
        <w:rPr>
          <w:b/>
          <w:sz w:val="22"/>
        </w:rPr>
      </w:pPr>
    </w:p>
    <w:p w:rsidR="005E5B48" w:rsidRPr="003948BA" w:rsidRDefault="00814043" w:rsidP="00A002A6">
      <w:pPr>
        <w:pStyle w:val="ListParagraph"/>
        <w:numPr>
          <w:ilvl w:val="2"/>
          <w:numId w:val="32"/>
        </w:numPr>
        <w:tabs>
          <w:tab w:val="left" w:pos="1552"/>
        </w:tabs>
        <w:spacing w:before="137"/>
        <w:ind w:right="795" w:hanging="271"/>
        <w:jc w:val="both"/>
      </w:pPr>
      <w:r w:rsidRPr="003948BA">
        <w:rPr>
          <w:sz w:val="20"/>
        </w:rPr>
        <w:t xml:space="preserve">The trustee shall perform its role as specified in the Rules, Regulation and directives, </w:t>
      </w:r>
      <w:r w:rsidRPr="003948BA">
        <w:t xml:space="preserve">circulars </w:t>
      </w:r>
      <w:r w:rsidRPr="003948BA">
        <w:rPr>
          <w:sz w:val="20"/>
        </w:rPr>
        <w:t>and Shariah provisions issued there under, this Deed and the Offering Document.</w:t>
      </w:r>
    </w:p>
    <w:p w:rsidR="005E5B48" w:rsidRPr="003948BA" w:rsidRDefault="005E5B48">
      <w:pPr>
        <w:pStyle w:val="BodyText"/>
        <w:spacing w:before="2"/>
        <w:rPr>
          <w:sz w:val="24"/>
        </w:rPr>
      </w:pPr>
    </w:p>
    <w:p w:rsidR="005E5B48" w:rsidRPr="003948BA" w:rsidRDefault="00814043" w:rsidP="00A002A6">
      <w:pPr>
        <w:pStyle w:val="ListParagraph"/>
        <w:numPr>
          <w:ilvl w:val="2"/>
          <w:numId w:val="32"/>
        </w:numPr>
        <w:tabs>
          <w:tab w:val="left" w:pos="1552"/>
        </w:tabs>
        <w:ind w:right="1012" w:hanging="271"/>
        <w:jc w:val="both"/>
        <w:rPr>
          <w:sz w:val="20"/>
        </w:rPr>
      </w:pPr>
      <w:r w:rsidRPr="003948BA">
        <w:rPr>
          <w:sz w:val="20"/>
        </w:rPr>
        <w:t>The Trustee shall exercise all due diligence and vigilance in carrying out its duties and in protecting the interests of the Unit Holder(s). The Trustee shall not be under any liability on account of anything done or suffered by the Trust, if the Trustee had acted in good faith in performance of its duties under this Trust Deed or in accordance with or pursuant to any request of the Management Company provided it is not in conflict with the provisions of this Trust Deed or the Rules and Regulations. Whenever pursuant to any provision of this Trust Deed, any instruction, certificate, notice, direction or other communication is required to be given</w:t>
      </w:r>
      <w:r w:rsidRPr="003948BA">
        <w:rPr>
          <w:spacing w:val="-1"/>
          <w:sz w:val="20"/>
        </w:rPr>
        <w:t xml:space="preserve"> </w:t>
      </w:r>
      <w:r w:rsidRPr="003948BA">
        <w:rPr>
          <w:sz w:val="20"/>
        </w:rPr>
        <w:t>by</w:t>
      </w:r>
      <w:r w:rsidRPr="003948BA">
        <w:rPr>
          <w:spacing w:val="-4"/>
          <w:sz w:val="20"/>
        </w:rPr>
        <w:t xml:space="preserve"> </w:t>
      </w:r>
      <w:r w:rsidRPr="003948BA">
        <w:rPr>
          <w:sz w:val="20"/>
        </w:rPr>
        <w:t>the</w:t>
      </w:r>
      <w:r w:rsidRPr="003948BA">
        <w:rPr>
          <w:spacing w:val="-1"/>
          <w:sz w:val="20"/>
        </w:rPr>
        <w:t xml:space="preserve"> </w:t>
      </w:r>
      <w:r w:rsidRPr="003948BA">
        <w:rPr>
          <w:sz w:val="20"/>
        </w:rPr>
        <w:t>Management</w:t>
      </w:r>
      <w:r w:rsidRPr="003948BA">
        <w:rPr>
          <w:spacing w:val="-3"/>
          <w:sz w:val="20"/>
        </w:rPr>
        <w:t xml:space="preserve"> </w:t>
      </w:r>
      <w:r w:rsidRPr="003948BA">
        <w:rPr>
          <w:sz w:val="20"/>
        </w:rPr>
        <w:t>Company,</w:t>
      </w:r>
      <w:r w:rsidRPr="003948BA">
        <w:rPr>
          <w:spacing w:val="-3"/>
          <w:sz w:val="20"/>
        </w:rPr>
        <w:t xml:space="preserve"> </w:t>
      </w:r>
      <w:r w:rsidRPr="003948BA">
        <w:rPr>
          <w:sz w:val="20"/>
        </w:rPr>
        <w:t>the</w:t>
      </w:r>
      <w:r w:rsidRPr="003948BA">
        <w:rPr>
          <w:spacing w:val="-3"/>
          <w:sz w:val="20"/>
        </w:rPr>
        <w:t xml:space="preserve"> </w:t>
      </w:r>
      <w:r w:rsidRPr="003948BA">
        <w:rPr>
          <w:sz w:val="20"/>
        </w:rPr>
        <w:t>Trustee</w:t>
      </w:r>
      <w:r w:rsidRPr="003948BA">
        <w:rPr>
          <w:spacing w:val="-3"/>
          <w:sz w:val="20"/>
        </w:rPr>
        <w:t xml:space="preserve"> </w:t>
      </w:r>
      <w:r w:rsidRPr="003948BA">
        <w:rPr>
          <w:sz w:val="20"/>
        </w:rPr>
        <w:t>may</w:t>
      </w:r>
      <w:r w:rsidRPr="003948BA">
        <w:rPr>
          <w:spacing w:val="-6"/>
          <w:sz w:val="20"/>
        </w:rPr>
        <w:t xml:space="preserve"> </w:t>
      </w:r>
      <w:r w:rsidRPr="003948BA">
        <w:rPr>
          <w:sz w:val="20"/>
        </w:rPr>
        <w:t>accept</w:t>
      </w:r>
      <w:r w:rsidRPr="003948BA">
        <w:rPr>
          <w:spacing w:val="-3"/>
          <w:sz w:val="20"/>
        </w:rPr>
        <w:t xml:space="preserve"> </w:t>
      </w:r>
      <w:r w:rsidRPr="003948BA">
        <w:rPr>
          <w:sz w:val="20"/>
        </w:rPr>
        <w:t>as</w:t>
      </w:r>
      <w:r w:rsidRPr="003948BA">
        <w:rPr>
          <w:spacing w:val="-2"/>
          <w:sz w:val="20"/>
        </w:rPr>
        <w:t xml:space="preserve"> </w:t>
      </w:r>
      <w:r w:rsidRPr="003948BA">
        <w:rPr>
          <w:sz w:val="20"/>
        </w:rPr>
        <w:t>sufficient</w:t>
      </w:r>
      <w:r w:rsidRPr="003948BA">
        <w:rPr>
          <w:spacing w:val="-3"/>
          <w:sz w:val="20"/>
        </w:rPr>
        <w:t xml:space="preserve"> </w:t>
      </w:r>
      <w:r w:rsidRPr="003948BA">
        <w:rPr>
          <w:sz w:val="20"/>
        </w:rPr>
        <w:t>evidence</w:t>
      </w:r>
      <w:r w:rsidRPr="003948BA">
        <w:rPr>
          <w:spacing w:val="-14"/>
          <w:sz w:val="20"/>
        </w:rPr>
        <w:t xml:space="preserve"> </w:t>
      </w:r>
      <w:r w:rsidRPr="003948BA">
        <w:rPr>
          <w:sz w:val="20"/>
        </w:rPr>
        <w:t>thereof:</w:t>
      </w:r>
    </w:p>
    <w:p w:rsidR="005E5B48" w:rsidRPr="003948BA" w:rsidRDefault="005E5B48">
      <w:pPr>
        <w:pStyle w:val="BodyText"/>
        <w:spacing w:before="1"/>
      </w:pPr>
    </w:p>
    <w:p w:rsidR="005E5B48" w:rsidRPr="003948BA" w:rsidRDefault="00814043" w:rsidP="00A002A6">
      <w:pPr>
        <w:pStyle w:val="ListParagraph"/>
        <w:numPr>
          <w:ilvl w:val="3"/>
          <w:numId w:val="32"/>
        </w:numPr>
        <w:tabs>
          <w:tab w:val="left" w:pos="1912"/>
        </w:tabs>
        <w:ind w:right="1014"/>
        <w:jc w:val="both"/>
        <w:rPr>
          <w:sz w:val="20"/>
        </w:rPr>
      </w:pPr>
      <w:r w:rsidRPr="003948BA">
        <w:rPr>
          <w:sz w:val="20"/>
        </w:rPr>
        <w:t>a document signed or purporting to be signed on behalf of the Management Company by any authorized representative(s) whose signature the Trustee is for the time being authorized in writing by the Management Committee to accept;</w:t>
      </w:r>
      <w:r w:rsidRPr="003948BA">
        <w:rPr>
          <w:spacing w:val="-9"/>
          <w:sz w:val="20"/>
        </w:rPr>
        <w:t xml:space="preserve"> </w:t>
      </w:r>
      <w:r w:rsidRPr="003948BA">
        <w:rPr>
          <w:sz w:val="20"/>
        </w:rPr>
        <w:t>and</w:t>
      </w:r>
    </w:p>
    <w:p w:rsidR="005E5B48" w:rsidRPr="003948BA" w:rsidRDefault="00814043" w:rsidP="00A002A6">
      <w:pPr>
        <w:pStyle w:val="ListParagraph"/>
        <w:numPr>
          <w:ilvl w:val="3"/>
          <w:numId w:val="32"/>
        </w:numPr>
        <w:tabs>
          <w:tab w:val="left" w:pos="1912"/>
        </w:tabs>
        <w:ind w:right="1019"/>
        <w:jc w:val="both"/>
        <w:rPr>
          <w:sz w:val="20"/>
        </w:rPr>
      </w:pPr>
      <w:r w:rsidRPr="003948BA">
        <w:rPr>
          <w:sz w:val="20"/>
        </w:rPr>
        <w:t>any Instructions received online through the software solution adopted by the Management Company/Trustee in consultation with each other shall be deemed to be instructions from the authorized</w:t>
      </w:r>
      <w:r w:rsidRPr="003948BA">
        <w:rPr>
          <w:spacing w:val="-15"/>
          <w:sz w:val="20"/>
        </w:rPr>
        <w:t xml:space="preserve"> </w:t>
      </w:r>
      <w:r w:rsidRPr="003948BA">
        <w:rPr>
          <w:sz w:val="20"/>
        </w:rPr>
        <w:t>representative(s)</w:t>
      </w:r>
    </w:p>
    <w:p w:rsidR="005E5B48" w:rsidRPr="003948BA" w:rsidRDefault="005E5B48">
      <w:pPr>
        <w:pStyle w:val="BodyText"/>
        <w:spacing w:before="4"/>
        <w:rPr>
          <w:sz w:val="21"/>
        </w:rPr>
      </w:pPr>
    </w:p>
    <w:p w:rsidR="005E5B48" w:rsidRPr="003948BA" w:rsidRDefault="00814043" w:rsidP="00A002A6">
      <w:pPr>
        <w:pStyle w:val="ListParagraph"/>
        <w:numPr>
          <w:ilvl w:val="2"/>
          <w:numId w:val="32"/>
        </w:numPr>
        <w:tabs>
          <w:tab w:val="left" w:pos="1552"/>
        </w:tabs>
        <w:spacing w:line="235" w:lineRule="auto"/>
        <w:ind w:right="1017" w:hanging="271"/>
        <w:jc w:val="both"/>
        <w:rPr>
          <w:sz w:val="20"/>
        </w:rPr>
      </w:pPr>
      <w:r w:rsidRPr="003948BA">
        <w:rPr>
          <w:sz w:val="20"/>
        </w:rPr>
        <w:t>The Trustee shall not be liable for any loss caused to the Fund or to the value of the Trust Property due to any elements or circumstances of Force</w:t>
      </w:r>
      <w:r w:rsidRPr="003948BA">
        <w:rPr>
          <w:spacing w:val="-22"/>
          <w:sz w:val="20"/>
        </w:rPr>
        <w:t xml:space="preserve"> </w:t>
      </w:r>
      <w:r w:rsidRPr="003948BA">
        <w:rPr>
          <w:sz w:val="20"/>
        </w:rPr>
        <w:t>Majeure</w:t>
      </w:r>
    </w:p>
    <w:p w:rsidR="005E5B48" w:rsidRPr="003948BA" w:rsidRDefault="005E5B48">
      <w:pPr>
        <w:pStyle w:val="BodyText"/>
        <w:spacing w:before="1"/>
        <w:rPr>
          <w:sz w:val="21"/>
        </w:rPr>
      </w:pPr>
    </w:p>
    <w:p w:rsidR="005E5B48" w:rsidRPr="003948BA" w:rsidRDefault="00814043" w:rsidP="00A002A6">
      <w:pPr>
        <w:pStyle w:val="ListParagraph"/>
        <w:numPr>
          <w:ilvl w:val="2"/>
          <w:numId w:val="32"/>
        </w:numPr>
        <w:tabs>
          <w:tab w:val="left" w:pos="1552"/>
        </w:tabs>
        <w:spacing w:before="1"/>
        <w:ind w:right="1007" w:hanging="271"/>
        <w:jc w:val="both"/>
        <w:rPr>
          <w:sz w:val="20"/>
        </w:rPr>
      </w:pPr>
      <w:r w:rsidRPr="003948BA">
        <w:rPr>
          <w:sz w:val="20"/>
        </w:rPr>
        <w:t>In the event of any loss caused due to any gross negligence or willful act and/or omission, the Trustee shall have an obligation to replace the lost investment forthwith with similar investment of the same class and issue together with all rights and privileges pertaining thereto or compensate the Trust to the extent of such loss. However the trustee shall not be under any liability thereof or thereby and it shall not incur any liability by reason of any error of</w:t>
      </w:r>
      <w:r w:rsidRPr="003948BA">
        <w:rPr>
          <w:spacing w:val="-1"/>
          <w:sz w:val="20"/>
        </w:rPr>
        <w:t xml:space="preserve"> </w:t>
      </w:r>
      <w:r w:rsidRPr="003948BA">
        <w:rPr>
          <w:sz w:val="20"/>
        </w:rPr>
        <w:t>law</w:t>
      </w:r>
      <w:r w:rsidRPr="003948BA">
        <w:rPr>
          <w:spacing w:val="-5"/>
          <w:sz w:val="20"/>
        </w:rPr>
        <w:t xml:space="preserve"> </w:t>
      </w:r>
      <w:r w:rsidRPr="003948BA">
        <w:rPr>
          <w:sz w:val="20"/>
        </w:rPr>
        <w:t>or</w:t>
      </w:r>
      <w:r w:rsidRPr="003948BA">
        <w:rPr>
          <w:spacing w:val="-3"/>
          <w:sz w:val="20"/>
        </w:rPr>
        <w:t xml:space="preserve"> </w:t>
      </w:r>
      <w:r w:rsidRPr="003948BA">
        <w:rPr>
          <w:sz w:val="20"/>
        </w:rPr>
        <w:t>any</w:t>
      </w:r>
      <w:r w:rsidRPr="003948BA">
        <w:rPr>
          <w:spacing w:val="-6"/>
          <w:sz w:val="20"/>
        </w:rPr>
        <w:t xml:space="preserve"> </w:t>
      </w:r>
      <w:r w:rsidRPr="003948BA">
        <w:rPr>
          <w:sz w:val="20"/>
        </w:rPr>
        <w:t>matter</w:t>
      </w:r>
      <w:r w:rsidRPr="003948BA">
        <w:rPr>
          <w:spacing w:val="-3"/>
          <w:sz w:val="20"/>
        </w:rPr>
        <w:t xml:space="preserve"> </w:t>
      </w:r>
      <w:r w:rsidRPr="003948BA">
        <w:rPr>
          <w:sz w:val="20"/>
        </w:rPr>
        <w:t>or</w:t>
      </w:r>
      <w:r w:rsidRPr="003948BA">
        <w:rPr>
          <w:spacing w:val="-2"/>
          <w:sz w:val="20"/>
        </w:rPr>
        <w:t xml:space="preserve"> </w:t>
      </w:r>
      <w:r w:rsidRPr="003948BA">
        <w:rPr>
          <w:sz w:val="20"/>
        </w:rPr>
        <w:t>thing</w:t>
      </w:r>
      <w:r w:rsidRPr="003948BA">
        <w:rPr>
          <w:spacing w:val="-3"/>
          <w:sz w:val="20"/>
        </w:rPr>
        <w:t xml:space="preserve"> </w:t>
      </w:r>
      <w:r w:rsidRPr="003948BA">
        <w:rPr>
          <w:sz w:val="20"/>
        </w:rPr>
        <w:t>done</w:t>
      </w:r>
      <w:r w:rsidRPr="003948BA">
        <w:rPr>
          <w:spacing w:val="-3"/>
          <w:sz w:val="20"/>
        </w:rPr>
        <w:t xml:space="preserve"> </w:t>
      </w:r>
      <w:r w:rsidRPr="003948BA">
        <w:rPr>
          <w:sz w:val="20"/>
        </w:rPr>
        <w:t>or</w:t>
      </w:r>
      <w:r w:rsidRPr="003948BA">
        <w:rPr>
          <w:spacing w:val="-3"/>
          <w:sz w:val="20"/>
        </w:rPr>
        <w:t xml:space="preserve"> </w:t>
      </w:r>
      <w:r w:rsidRPr="003948BA">
        <w:rPr>
          <w:sz w:val="20"/>
        </w:rPr>
        <w:t>suffered</w:t>
      </w:r>
      <w:r w:rsidRPr="003948BA">
        <w:rPr>
          <w:spacing w:val="-3"/>
          <w:sz w:val="20"/>
        </w:rPr>
        <w:t xml:space="preserve"> </w:t>
      </w:r>
      <w:r w:rsidRPr="003948BA">
        <w:rPr>
          <w:sz w:val="20"/>
        </w:rPr>
        <w:t>or</w:t>
      </w:r>
      <w:r w:rsidRPr="003948BA">
        <w:rPr>
          <w:spacing w:val="-2"/>
          <w:sz w:val="20"/>
        </w:rPr>
        <w:t xml:space="preserve"> </w:t>
      </w:r>
      <w:r w:rsidRPr="003948BA">
        <w:rPr>
          <w:sz w:val="20"/>
        </w:rPr>
        <w:t>omitted</w:t>
      </w:r>
      <w:r w:rsidRPr="003948BA">
        <w:rPr>
          <w:spacing w:val="-3"/>
          <w:sz w:val="20"/>
        </w:rPr>
        <w:t xml:space="preserve"> </w:t>
      </w:r>
      <w:r w:rsidRPr="003948BA">
        <w:rPr>
          <w:sz w:val="20"/>
        </w:rPr>
        <w:t>to</w:t>
      </w:r>
      <w:r w:rsidRPr="003948BA">
        <w:rPr>
          <w:spacing w:val="-1"/>
          <w:sz w:val="20"/>
        </w:rPr>
        <w:t xml:space="preserve"> </w:t>
      </w:r>
      <w:r w:rsidRPr="003948BA">
        <w:rPr>
          <w:sz w:val="20"/>
        </w:rPr>
        <w:t>be</w:t>
      </w:r>
      <w:r w:rsidRPr="003948BA">
        <w:rPr>
          <w:spacing w:val="-1"/>
          <w:sz w:val="20"/>
        </w:rPr>
        <w:t xml:space="preserve"> </w:t>
      </w:r>
      <w:r w:rsidRPr="003948BA">
        <w:rPr>
          <w:sz w:val="20"/>
        </w:rPr>
        <w:t>done</w:t>
      </w:r>
      <w:r w:rsidRPr="003948BA">
        <w:rPr>
          <w:spacing w:val="-3"/>
          <w:sz w:val="20"/>
        </w:rPr>
        <w:t xml:space="preserve"> </w:t>
      </w:r>
      <w:r w:rsidRPr="003948BA">
        <w:rPr>
          <w:sz w:val="20"/>
        </w:rPr>
        <w:t>in</w:t>
      </w:r>
      <w:r w:rsidRPr="003948BA">
        <w:rPr>
          <w:spacing w:val="-3"/>
          <w:sz w:val="20"/>
        </w:rPr>
        <w:t xml:space="preserve"> </w:t>
      </w:r>
      <w:r w:rsidRPr="003948BA">
        <w:rPr>
          <w:sz w:val="20"/>
        </w:rPr>
        <w:t>good</w:t>
      </w:r>
      <w:r w:rsidRPr="003948BA">
        <w:rPr>
          <w:spacing w:val="-3"/>
          <w:sz w:val="20"/>
        </w:rPr>
        <w:t xml:space="preserve"> </w:t>
      </w:r>
      <w:r w:rsidRPr="003948BA">
        <w:rPr>
          <w:sz w:val="20"/>
        </w:rPr>
        <w:t>faith</w:t>
      </w:r>
      <w:r w:rsidRPr="003948BA">
        <w:rPr>
          <w:spacing w:val="-22"/>
          <w:sz w:val="20"/>
        </w:rPr>
        <w:t xml:space="preserve"> </w:t>
      </w:r>
      <w:r w:rsidRPr="003948BA">
        <w:rPr>
          <w:sz w:val="20"/>
        </w:rPr>
        <w:t>hereunder.</w:t>
      </w:r>
    </w:p>
    <w:p w:rsidR="005E5B48" w:rsidRPr="003948BA" w:rsidRDefault="005E5B48">
      <w:pPr>
        <w:pStyle w:val="BodyText"/>
        <w:spacing w:before="7"/>
        <w:rPr>
          <w:sz w:val="32"/>
        </w:rPr>
      </w:pPr>
    </w:p>
    <w:p w:rsidR="005E5B48" w:rsidRPr="003948BA" w:rsidRDefault="00814043" w:rsidP="00A002A6">
      <w:pPr>
        <w:pStyle w:val="Heading5"/>
        <w:numPr>
          <w:ilvl w:val="2"/>
          <w:numId w:val="31"/>
        </w:numPr>
        <w:tabs>
          <w:tab w:val="left" w:pos="1641"/>
        </w:tabs>
        <w:jc w:val="left"/>
      </w:pPr>
      <w:r w:rsidRPr="003948BA">
        <w:t>Obligations under Regulations and Constitutive</w:t>
      </w:r>
      <w:r w:rsidRPr="003948BA">
        <w:rPr>
          <w:spacing w:val="-22"/>
        </w:rPr>
        <w:t xml:space="preserve"> </w:t>
      </w:r>
      <w:r w:rsidRPr="003948BA">
        <w:t>Document</w:t>
      </w:r>
    </w:p>
    <w:p w:rsidR="005E5B48" w:rsidRPr="003948BA" w:rsidRDefault="005E5B48">
      <w:pPr>
        <w:pStyle w:val="BodyText"/>
        <w:spacing w:before="7"/>
        <w:rPr>
          <w:b/>
          <w:sz w:val="27"/>
        </w:rPr>
      </w:pPr>
    </w:p>
    <w:p w:rsidR="005E5B48" w:rsidRPr="003948BA" w:rsidRDefault="00814043" w:rsidP="005D0461">
      <w:pPr>
        <w:pStyle w:val="BodyText"/>
        <w:ind w:left="1551" w:right="1001"/>
        <w:jc w:val="both"/>
      </w:pPr>
      <w:r w:rsidRPr="003948BA">
        <w:t xml:space="preserve">The Trustee shall </w:t>
      </w:r>
      <w:r w:rsidRPr="003948BA">
        <w:rPr>
          <w:color w:val="211F1F"/>
        </w:rPr>
        <w:t xml:space="preserve">perform </w:t>
      </w:r>
      <w:r w:rsidRPr="003948BA">
        <w:t xml:space="preserve">all the obligations entrusted </w:t>
      </w:r>
      <w:r w:rsidRPr="003948BA">
        <w:rPr>
          <w:color w:val="211F1F"/>
        </w:rPr>
        <w:t xml:space="preserve">to </w:t>
      </w:r>
      <w:r w:rsidRPr="003948BA">
        <w:t xml:space="preserve">it under the Regulations, circulars, directives, the Deed and this Offering Document </w:t>
      </w:r>
      <w:r w:rsidRPr="003948BA">
        <w:rPr>
          <w:color w:val="211F1F"/>
        </w:rPr>
        <w:t>and discharge all its duties in accordance with the Rules, Regulations, the Trust Deed and this Offering Document</w:t>
      </w:r>
      <w:r w:rsidRPr="003948BA">
        <w:t>. Such duties may also be performed on behalf of the Trustee by any officer or responsible official of the Trustee or by any nominee or agent appointed by the Trustee under intimation to the Management Company. Provided that the Trustee shall be responsible for the willful acts and omissions of all persons to whom it may delegate any of its duties, as if these were its own acts and omissions and shall account to the Trust for any loss in value of the Fund Property where such loss has been caused by negligence or any reckless willful act or omission of the Trustee or any of its attorney (</w:t>
      </w:r>
      <w:proofErr w:type="spellStart"/>
      <w:r w:rsidRPr="003948BA">
        <w:t>ies</w:t>
      </w:r>
      <w:proofErr w:type="spellEnd"/>
      <w:r w:rsidRPr="003948BA">
        <w:t>), or agents.</w:t>
      </w:r>
    </w:p>
    <w:p w:rsidR="005E5B48" w:rsidRPr="003948BA" w:rsidRDefault="005E5B48" w:rsidP="005D0461">
      <w:pPr>
        <w:pStyle w:val="BodyText"/>
        <w:spacing w:before="5"/>
        <w:ind w:right="1001"/>
      </w:pPr>
    </w:p>
    <w:p w:rsidR="005E5B48" w:rsidRPr="003948BA" w:rsidRDefault="00814043" w:rsidP="005D0461">
      <w:pPr>
        <w:pStyle w:val="Heading5"/>
        <w:numPr>
          <w:ilvl w:val="2"/>
          <w:numId w:val="31"/>
        </w:numPr>
        <w:tabs>
          <w:tab w:val="left" w:pos="1640"/>
          <w:tab w:val="left" w:pos="1641"/>
        </w:tabs>
        <w:ind w:right="1001" w:hanging="720"/>
        <w:jc w:val="left"/>
      </w:pPr>
      <w:r w:rsidRPr="003948BA">
        <w:t>Custody of</w:t>
      </w:r>
      <w:r w:rsidRPr="003948BA">
        <w:rPr>
          <w:spacing w:val="-3"/>
        </w:rPr>
        <w:t xml:space="preserve"> </w:t>
      </w:r>
      <w:r w:rsidRPr="003948BA">
        <w:t>Assets</w:t>
      </w:r>
    </w:p>
    <w:p w:rsidR="005E5B48" w:rsidRPr="003948BA" w:rsidRDefault="005E5B48" w:rsidP="005D0461">
      <w:pPr>
        <w:pStyle w:val="BodyText"/>
        <w:spacing w:before="9"/>
        <w:ind w:right="1001"/>
        <w:rPr>
          <w:b/>
          <w:sz w:val="27"/>
        </w:rPr>
      </w:pPr>
    </w:p>
    <w:p w:rsidR="005E5B48" w:rsidRPr="003948BA" w:rsidRDefault="00814043" w:rsidP="005D0461">
      <w:pPr>
        <w:pStyle w:val="BodyText"/>
        <w:ind w:left="1640" w:right="1001"/>
        <w:jc w:val="both"/>
      </w:pPr>
      <w:r w:rsidRPr="003948BA">
        <w:t>The Trustee has the responsibility for being the nominal owner and for the safe custody of the assets of the Fund on behalf of the beneficial owners (the Unit Holders), within the framework of the Regulations, the Trust Deed and Offering Document issued for the Fund.</w:t>
      </w:r>
    </w:p>
    <w:p w:rsidR="005E5B48" w:rsidRPr="003948BA" w:rsidRDefault="005E5B48" w:rsidP="005D0461">
      <w:pPr>
        <w:pStyle w:val="BodyText"/>
        <w:spacing w:before="4"/>
        <w:ind w:right="1001"/>
      </w:pPr>
    </w:p>
    <w:p w:rsidR="005E5B48" w:rsidRPr="003948BA" w:rsidRDefault="00814043" w:rsidP="005D0461">
      <w:pPr>
        <w:pStyle w:val="Heading5"/>
        <w:numPr>
          <w:ilvl w:val="2"/>
          <w:numId w:val="31"/>
        </w:numPr>
        <w:tabs>
          <w:tab w:val="left" w:pos="1640"/>
          <w:tab w:val="left" w:pos="1641"/>
        </w:tabs>
        <w:spacing w:before="1"/>
        <w:ind w:right="1001" w:hanging="720"/>
        <w:jc w:val="left"/>
      </w:pPr>
      <w:r w:rsidRPr="003948BA">
        <w:t>Investment of Fund Property at direction of Management</w:t>
      </w:r>
      <w:r w:rsidRPr="003948BA">
        <w:rPr>
          <w:spacing w:val="-13"/>
        </w:rPr>
        <w:t xml:space="preserve"> </w:t>
      </w:r>
      <w:r w:rsidRPr="003948BA">
        <w:t>Company</w:t>
      </w:r>
    </w:p>
    <w:p w:rsidR="005E5B48" w:rsidRPr="003948BA" w:rsidRDefault="00814043" w:rsidP="005D0461">
      <w:pPr>
        <w:pStyle w:val="BodyText"/>
        <w:ind w:left="1640" w:right="1001"/>
        <w:jc w:val="both"/>
      </w:pPr>
      <w:r w:rsidRPr="003948BA">
        <w:t>The Trustee shall invest the Fund Property from time to time at the direction of the</w:t>
      </w:r>
      <w:r w:rsidR="002826E9" w:rsidRPr="003948BA">
        <w:t xml:space="preserve"> ma</w:t>
      </w:r>
      <w:r w:rsidRPr="003948BA">
        <w:t>nagement Company strictly in terms of the provisions contained and the conditions stipulated in the Deed, this Offering Document(s), the Regulations, circulars, directives and the conditions (if any) which may be imposed by the Commission from time to time.</w:t>
      </w:r>
    </w:p>
    <w:p w:rsidR="005E5B48" w:rsidRPr="003948BA" w:rsidRDefault="005E5B48" w:rsidP="005D0461">
      <w:pPr>
        <w:pStyle w:val="BodyText"/>
        <w:spacing w:before="11"/>
        <w:ind w:right="1001"/>
        <w:rPr>
          <w:sz w:val="19"/>
        </w:rPr>
      </w:pPr>
    </w:p>
    <w:p w:rsidR="005E5B48" w:rsidRPr="003948BA" w:rsidRDefault="00814043" w:rsidP="00A002A6">
      <w:pPr>
        <w:pStyle w:val="Heading5"/>
        <w:numPr>
          <w:ilvl w:val="2"/>
          <w:numId w:val="31"/>
        </w:numPr>
        <w:tabs>
          <w:tab w:val="left" w:pos="1640"/>
          <w:tab w:val="left" w:pos="1641"/>
        </w:tabs>
        <w:ind w:hanging="720"/>
        <w:jc w:val="left"/>
      </w:pPr>
      <w:r w:rsidRPr="003948BA">
        <w:t>Carrying out instructions of the Management</w:t>
      </w:r>
      <w:r w:rsidRPr="003948BA">
        <w:rPr>
          <w:spacing w:val="-11"/>
        </w:rPr>
        <w:t xml:space="preserve"> </w:t>
      </w:r>
      <w:r w:rsidRPr="003948BA">
        <w:t>Company</w:t>
      </w:r>
    </w:p>
    <w:p w:rsidR="005E5B48" w:rsidRPr="003948BA" w:rsidRDefault="005E5B48">
      <w:pPr>
        <w:pStyle w:val="BodyText"/>
        <w:spacing w:before="4"/>
        <w:rPr>
          <w:b/>
          <w:sz w:val="28"/>
        </w:rPr>
      </w:pPr>
    </w:p>
    <w:p w:rsidR="005E5B48" w:rsidRPr="003948BA" w:rsidRDefault="00814043">
      <w:pPr>
        <w:pStyle w:val="BodyText"/>
        <w:spacing w:before="1"/>
        <w:ind w:left="1640" w:right="1016"/>
        <w:jc w:val="both"/>
      </w:pPr>
      <w:r w:rsidRPr="003948BA">
        <w:t xml:space="preserve">The Trustee shall carry out the instructions of the Management Company in all matters including investment and disposition of the Fund Property unless such instructions are in </w:t>
      </w:r>
      <w:r w:rsidRPr="003948BA">
        <w:lastRenderedPageBreak/>
        <w:t>conflict with the provisions of the Deed, this Offering Document(s), the Regulations, the Circulars and Directives of SECP or any other applicable law.</w:t>
      </w:r>
    </w:p>
    <w:p w:rsidR="005E5B48" w:rsidRPr="003948BA" w:rsidRDefault="005E5B48">
      <w:pPr>
        <w:pStyle w:val="BodyText"/>
        <w:spacing w:before="2"/>
      </w:pPr>
    </w:p>
    <w:p w:rsidR="005E5B48" w:rsidRPr="003948BA" w:rsidRDefault="00814043" w:rsidP="00A002A6">
      <w:pPr>
        <w:pStyle w:val="Heading5"/>
        <w:numPr>
          <w:ilvl w:val="2"/>
          <w:numId w:val="31"/>
        </w:numPr>
        <w:tabs>
          <w:tab w:val="left" w:pos="1640"/>
          <w:tab w:val="left" w:pos="1641"/>
        </w:tabs>
        <w:ind w:hanging="720"/>
        <w:jc w:val="left"/>
      </w:pPr>
      <w:r w:rsidRPr="003948BA">
        <w:t>Liabilities of the</w:t>
      </w:r>
      <w:r w:rsidRPr="003948BA">
        <w:rPr>
          <w:spacing w:val="-5"/>
        </w:rPr>
        <w:t xml:space="preserve"> </w:t>
      </w:r>
      <w:r w:rsidRPr="003948BA">
        <w:t>Trustee</w:t>
      </w:r>
    </w:p>
    <w:p w:rsidR="005E5B48" w:rsidRPr="003948BA" w:rsidRDefault="005E5B48">
      <w:pPr>
        <w:pStyle w:val="BodyText"/>
        <w:spacing w:before="9"/>
        <w:rPr>
          <w:b/>
          <w:sz w:val="27"/>
        </w:rPr>
      </w:pPr>
    </w:p>
    <w:p w:rsidR="005E5B48" w:rsidRPr="003948BA" w:rsidRDefault="00814043">
      <w:pPr>
        <w:pStyle w:val="BodyText"/>
        <w:ind w:left="1640" w:right="1011"/>
        <w:jc w:val="both"/>
        <w:rPr>
          <w:sz w:val="22"/>
        </w:rPr>
      </w:pPr>
      <w:r w:rsidRPr="003948BA">
        <w:t xml:space="preserve">The Trustee shall not be under any liability except such liability as may be expressly assumed by it under the Rules, the Regulations and/or the Deed, nor shall the Trustee (save as herein otherwise provided) be liable for any act or omission of the Management Company or for anything except </w:t>
      </w:r>
      <w:r w:rsidRPr="003948BA">
        <w:rPr>
          <w:color w:val="211F1F"/>
        </w:rPr>
        <w:t>for loss caused due to its willful acts or omissions or that of its agents in relation to any custody of assets of investments forming part of the Fund Property</w:t>
      </w:r>
      <w:r w:rsidRPr="003948BA">
        <w:t>. If for any reason it becomes impossible or impracticable to carry out the provisions of the Deed the Trustee shall not be under any liability therefor or thereby and it shall not incur any liability by reason of any error of law or any matter or thing done or suffered or omitted, to be done in good faith hereunder. The Trustee shall not be liable for any loss caused to the Trust or to the value of the Fund Property due to any elements or circumstances beyond its reasonable</w:t>
      </w:r>
      <w:r w:rsidRPr="003948BA">
        <w:rPr>
          <w:spacing w:val="-1"/>
        </w:rPr>
        <w:t xml:space="preserve"> </w:t>
      </w:r>
      <w:r w:rsidRPr="003948BA">
        <w:t>control</w:t>
      </w:r>
      <w:r w:rsidRPr="003948BA">
        <w:rPr>
          <w:sz w:val="22"/>
        </w:rPr>
        <w:t>.</w:t>
      </w:r>
    </w:p>
    <w:p w:rsidR="005E5B48" w:rsidRPr="003948BA" w:rsidRDefault="005E5B48" w:rsidP="004724FC"/>
    <w:p w:rsidR="005E5B48" w:rsidRPr="003948BA" w:rsidRDefault="00814043" w:rsidP="00A002A6">
      <w:pPr>
        <w:pStyle w:val="Heading5"/>
        <w:numPr>
          <w:ilvl w:val="2"/>
          <w:numId w:val="31"/>
        </w:numPr>
        <w:tabs>
          <w:tab w:val="left" w:pos="1640"/>
          <w:tab w:val="left" w:pos="1641"/>
        </w:tabs>
        <w:spacing w:before="1"/>
        <w:ind w:hanging="720"/>
        <w:jc w:val="left"/>
      </w:pPr>
      <w:r w:rsidRPr="003948BA">
        <w:t>Disclaimer</w:t>
      </w:r>
    </w:p>
    <w:p w:rsidR="005E5B48" w:rsidRPr="003948BA" w:rsidRDefault="005E5B48">
      <w:pPr>
        <w:pStyle w:val="BodyText"/>
        <w:spacing w:before="6"/>
        <w:rPr>
          <w:b/>
          <w:sz w:val="27"/>
        </w:rPr>
      </w:pPr>
    </w:p>
    <w:p w:rsidR="005E5B48" w:rsidRPr="003948BA" w:rsidRDefault="00814043">
      <w:pPr>
        <w:pStyle w:val="BodyText"/>
        <w:ind w:left="1640" w:right="1009"/>
        <w:jc w:val="both"/>
      </w:pPr>
      <w:r w:rsidRPr="003948BA">
        <w:t>The Trustee shall not be under any liability except such liability as may be expressly assumed by it under the Rules and Regulations and the Deed nor shall the Trustee be liable for any act or omission of the Management Company nor for anything except for loss caused due to its willful acts or omissions or that of its agents in relation to any custody of assets of investments forming part of the Trust Property. If for any reason it becomes impossible or impracticable to carry out the provisions of the Deed the Trustee shall not be under any liability therefore or thereby and it shall not incur any liability by reason of any error of law or any matter or thing done or suffered or omitted to be done in good faith hereunder.</w:t>
      </w:r>
    </w:p>
    <w:p w:rsidR="005E5B48" w:rsidRPr="003948BA" w:rsidRDefault="005E5B48">
      <w:pPr>
        <w:pStyle w:val="BodyText"/>
        <w:rPr>
          <w:sz w:val="22"/>
        </w:rPr>
      </w:pPr>
    </w:p>
    <w:p w:rsidR="005E5B48" w:rsidRPr="003948BA" w:rsidRDefault="005E5B48">
      <w:pPr>
        <w:pStyle w:val="BodyText"/>
        <w:spacing w:before="5"/>
        <w:rPr>
          <w:sz w:val="18"/>
        </w:rPr>
      </w:pPr>
    </w:p>
    <w:p w:rsidR="005E5B48" w:rsidRPr="003948BA" w:rsidRDefault="00814043" w:rsidP="00A002A6">
      <w:pPr>
        <w:pStyle w:val="Heading5"/>
        <w:numPr>
          <w:ilvl w:val="1"/>
          <w:numId w:val="30"/>
        </w:numPr>
        <w:tabs>
          <w:tab w:val="left" w:pos="1529"/>
          <w:tab w:val="left" w:pos="1530"/>
        </w:tabs>
        <w:jc w:val="left"/>
      </w:pPr>
      <w:proofErr w:type="spellStart"/>
      <w:r w:rsidRPr="003948BA">
        <w:t>Shariah</w:t>
      </w:r>
      <w:proofErr w:type="spellEnd"/>
      <w:r w:rsidRPr="003948BA">
        <w:rPr>
          <w:spacing w:val="-1"/>
        </w:rPr>
        <w:t xml:space="preserve"> </w:t>
      </w:r>
      <w:r w:rsidRPr="003948BA">
        <w:t>Advisor</w:t>
      </w:r>
    </w:p>
    <w:p w:rsidR="005E5B48" w:rsidRPr="003948BA" w:rsidRDefault="005E5B48">
      <w:pPr>
        <w:pStyle w:val="BodyText"/>
        <w:spacing w:before="8"/>
        <w:rPr>
          <w:b/>
          <w:sz w:val="29"/>
        </w:rPr>
      </w:pPr>
    </w:p>
    <w:p w:rsidR="005E5B48" w:rsidRPr="00AC705B" w:rsidRDefault="00814043" w:rsidP="005D0461">
      <w:pPr>
        <w:pStyle w:val="BodyText"/>
        <w:ind w:left="1640" w:right="1020"/>
        <w:jc w:val="both"/>
      </w:pPr>
      <w:r w:rsidRPr="003948BA">
        <w:t xml:space="preserve">Management Company, on its own expense, has appointed Muhammad Hassan Kaleem </w:t>
      </w:r>
      <w:r w:rsidRPr="005D0461">
        <w:t>and Mohammad Najeeb Khan as the Shariah Advisor for the Fund. The profile of the Shariah Advis</w:t>
      </w:r>
      <w:r w:rsidRPr="00FC4D98">
        <w:t>or (s) is annexed as</w:t>
      </w:r>
      <w:r w:rsidR="00452737" w:rsidRPr="00FC4D98">
        <w:t xml:space="preserve"> Annexure ‘E’</w:t>
      </w:r>
      <w:r w:rsidRPr="00AC705B">
        <w:t xml:space="preserve"> in the Offering Document.</w:t>
      </w:r>
    </w:p>
    <w:p w:rsidR="005E5B48" w:rsidRPr="008353B2" w:rsidRDefault="005E5B48" w:rsidP="005D0461">
      <w:pPr>
        <w:pStyle w:val="BodyText"/>
        <w:spacing w:before="5"/>
        <w:ind w:right="1020"/>
      </w:pPr>
    </w:p>
    <w:p w:rsidR="005E5B48" w:rsidRPr="005A71B8" w:rsidRDefault="00814043" w:rsidP="005D0461">
      <w:pPr>
        <w:pStyle w:val="BodyText"/>
        <w:ind w:left="1640" w:right="1020"/>
        <w:jc w:val="both"/>
      </w:pPr>
      <w:r w:rsidRPr="008353B2">
        <w:t xml:space="preserve">The Shariah Advisor will be appointed under intimation to the Trustee for a period of five years, but may be reappointed on completion of the term. The Management Company </w:t>
      </w:r>
      <w:r w:rsidRPr="00F4539B">
        <w:t>may at any time, with p</w:t>
      </w:r>
      <w:r w:rsidRPr="006F1159">
        <w:t xml:space="preserve">rior notice to the Trustee and intimation to the Commission, terminate the Agreement with the Shariah Advisor by giving a notice as per the Agreement with the Shariah Advisor, before the completion of the term, and fill the vacancy under intimation to the </w:t>
      </w:r>
      <w:r w:rsidRPr="009126A1">
        <w:t>Commission and the trustee. Furthermore, the agreement entered into for the appointment of the Shariah Advisor shall be furnished to the</w:t>
      </w:r>
      <w:r w:rsidRPr="001D7669">
        <w:rPr>
          <w:spacing w:val="-27"/>
        </w:rPr>
        <w:t xml:space="preserve"> </w:t>
      </w:r>
      <w:r w:rsidRPr="001D7669">
        <w:t>commission.</w:t>
      </w:r>
    </w:p>
    <w:p w:rsidR="005E5B48" w:rsidRPr="005D0461" w:rsidRDefault="005E5B48" w:rsidP="005D0461">
      <w:pPr>
        <w:pStyle w:val="BodyText"/>
        <w:ind w:right="1020"/>
      </w:pPr>
    </w:p>
    <w:p w:rsidR="005E5B48" w:rsidRPr="005D0461" w:rsidRDefault="005E5B48" w:rsidP="005D0461">
      <w:pPr>
        <w:pStyle w:val="BodyText"/>
        <w:spacing w:before="3"/>
        <w:ind w:right="1020"/>
      </w:pPr>
    </w:p>
    <w:p w:rsidR="005E5B48" w:rsidRPr="005D0461" w:rsidRDefault="00814043" w:rsidP="005D0461">
      <w:pPr>
        <w:pStyle w:val="Heading5"/>
        <w:numPr>
          <w:ilvl w:val="1"/>
          <w:numId w:val="30"/>
        </w:numPr>
        <w:tabs>
          <w:tab w:val="left" w:pos="1529"/>
          <w:tab w:val="left" w:pos="1530"/>
        </w:tabs>
        <w:ind w:right="1020"/>
        <w:jc w:val="left"/>
      </w:pPr>
      <w:r w:rsidRPr="005D0461">
        <w:t>Duties and Responsibilities of Shariah</w:t>
      </w:r>
      <w:r w:rsidRPr="005D0461">
        <w:rPr>
          <w:spacing w:val="-6"/>
        </w:rPr>
        <w:t xml:space="preserve"> </w:t>
      </w:r>
      <w:r w:rsidRPr="005D0461">
        <w:t>Advisor</w:t>
      </w:r>
    </w:p>
    <w:p w:rsidR="005E5B48" w:rsidRPr="005D0461" w:rsidRDefault="005E5B48" w:rsidP="005D0461">
      <w:pPr>
        <w:pStyle w:val="BodyText"/>
        <w:spacing w:before="6"/>
        <w:ind w:right="1020"/>
        <w:rPr>
          <w:b/>
        </w:rPr>
      </w:pPr>
    </w:p>
    <w:p w:rsidR="0070181A" w:rsidRPr="005D0461" w:rsidRDefault="0070181A" w:rsidP="005D0461">
      <w:pPr>
        <w:pStyle w:val="ListParagraph"/>
        <w:ind w:left="0" w:right="1020"/>
        <w:rPr>
          <w:sz w:val="20"/>
          <w:szCs w:val="20"/>
        </w:rPr>
      </w:pPr>
    </w:p>
    <w:p w:rsidR="0070181A" w:rsidRPr="005D0461" w:rsidRDefault="0070181A" w:rsidP="005D0461">
      <w:pPr>
        <w:pStyle w:val="Heading1"/>
        <w:keepNext/>
        <w:widowControl/>
        <w:autoSpaceDE/>
        <w:autoSpaceDN/>
        <w:spacing w:before="0"/>
        <w:ind w:left="2250" w:right="1020" w:hanging="720"/>
        <w:jc w:val="both"/>
        <w:rPr>
          <w:b/>
          <w:bCs/>
          <w:color w:val="231F20"/>
          <w:sz w:val="20"/>
          <w:szCs w:val="20"/>
        </w:rPr>
      </w:pPr>
      <w:bookmarkStart w:id="35" w:name="_Toc431372420"/>
      <w:bookmarkStart w:id="36" w:name="_Toc431373305"/>
      <w:r w:rsidRPr="005D0461">
        <w:rPr>
          <w:color w:val="231F20"/>
          <w:sz w:val="20"/>
          <w:szCs w:val="20"/>
        </w:rPr>
        <w:t>3.11.1</w:t>
      </w:r>
      <w:r w:rsidR="000020BF" w:rsidRPr="005D0461">
        <w:rPr>
          <w:color w:val="231F20"/>
          <w:sz w:val="20"/>
          <w:szCs w:val="20"/>
        </w:rPr>
        <w:tab/>
      </w:r>
      <w:r w:rsidRPr="005D0461">
        <w:rPr>
          <w:color w:val="231F20"/>
          <w:sz w:val="20"/>
          <w:szCs w:val="20"/>
        </w:rPr>
        <w:t>All activities of the Fund and the allocation plans therefore shall be undertaken in accordance with the Shariah Guidelines provided by Shariah Advisor</w:t>
      </w:r>
      <w:bookmarkEnd w:id="35"/>
      <w:bookmarkEnd w:id="36"/>
      <w:r w:rsidRPr="005D0461">
        <w:rPr>
          <w:color w:val="231F20"/>
          <w:sz w:val="20"/>
          <w:szCs w:val="20"/>
        </w:rPr>
        <w:t xml:space="preserve"> </w:t>
      </w:r>
      <w:r w:rsidRPr="005D0461">
        <w:rPr>
          <w:color w:val="221F1F"/>
          <w:spacing w:val="-2"/>
          <w:sz w:val="20"/>
          <w:szCs w:val="20"/>
        </w:rPr>
        <w:t>and Shariah Regulatory provisions issued by SECP from time to time.</w:t>
      </w:r>
    </w:p>
    <w:p w:rsidR="0070181A" w:rsidRPr="005D0461" w:rsidRDefault="0070181A" w:rsidP="005D0461">
      <w:pPr>
        <w:pStyle w:val="ListParagraph"/>
        <w:ind w:left="2250" w:right="1020"/>
        <w:rPr>
          <w:sz w:val="20"/>
          <w:szCs w:val="20"/>
        </w:rPr>
      </w:pPr>
    </w:p>
    <w:p w:rsidR="0070181A" w:rsidRPr="005D0461" w:rsidRDefault="000020BF" w:rsidP="005D0461">
      <w:pPr>
        <w:pStyle w:val="Heading1"/>
        <w:keepNext/>
        <w:widowControl/>
        <w:autoSpaceDE/>
        <w:autoSpaceDN/>
        <w:spacing w:before="0"/>
        <w:ind w:left="2250" w:right="1020" w:hanging="720"/>
        <w:jc w:val="both"/>
        <w:rPr>
          <w:b/>
          <w:bCs/>
          <w:color w:val="231F20"/>
          <w:sz w:val="20"/>
          <w:szCs w:val="20"/>
        </w:rPr>
      </w:pPr>
      <w:bookmarkStart w:id="37" w:name="_Toc431372421"/>
      <w:bookmarkStart w:id="38" w:name="_Toc431373306"/>
      <w:r w:rsidRPr="005D0461">
        <w:rPr>
          <w:color w:val="231F20"/>
          <w:sz w:val="20"/>
          <w:szCs w:val="20"/>
        </w:rPr>
        <w:t>3.11.2</w:t>
      </w:r>
      <w:r w:rsidRPr="005D0461">
        <w:rPr>
          <w:color w:val="231F20"/>
          <w:sz w:val="20"/>
          <w:szCs w:val="20"/>
        </w:rPr>
        <w:tab/>
      </w:r>
      <w:r w:rsidR="0070181A" w:rsidRPr="005D0461">
        <w:rPr>
          <w:color w:val="231F20"/>
          <w:sz w:val="20"/>
          <w:szCs w:val="20"/>
        </w:rPr>
        <w:t>The Shariah Advisor has been appointed by the Management Company who shall advise on the matters relating to Shariah Compliance.</w:t>
      </w:r>
      <w:bookmarkEnd w:id="37"/>
      <w:bookmarkEnd w:id="38"/>
    </w:p>
    <w:p w:rsidR="0070181A" w:rsidRPr="005D0461" w:rsidRDefault="0070181A" w:rsidP="005D0461">
      <w:pPr>
        <w:ind w:left="2250" w:right="1020" w:hanging="720"/>
        <w:jc w:val="both"/>
        <w:rPr>
          <w:sz w:val="20"/>
          <w:szCs w:val="20"/>
        </w:rPr>
      </w:pPr>
    </w:p>
    <w:p w:rsidR="0070181A" w:rsidRPr="005D0461" w:rsidRDefault="000020BF" w:rsidP="005D0461">
      <w:pPr>
        <w:pStyle w:val="Heading1"/>
        <w:keepNext/>
        <w:widowControl/>
        <w:autoSpaceDE/>
        <w:autoSpaceDN/>
        <w:spacing w:before="0"/>
        <w:ind w:left="2250" w:right="1020" w:hanging="720"/>
        <w:jc w:val="both"/>
        <w:rPr>
          <w:b/>
          <w:bCs/>
          <w:color w:val="231F20"/>
          <w:sz w:val="20"/>
          <w:szCs w:val="20"/>
        </w:rPr>
      </w:pPr>
      <w:bookmarkStart w:id="39" w:name="_Toc431372422"/>
      <w:bookmarkStart w:id="40" w:name="_Toc431373307"/>
      <w:r w:rsidRPr="005D0461">
        <w:rPr>
          <w:color w:val="231F20"/>
          <w:sz w:val="20"/>
          <w:szCs w:val="20"/>
        </w:rPr>
        <w:t>3.11.3</w:t>
      </w:r>
      <w:r w:rsidRPr="005D0461">
        <w:rPr>
          <w:color w:val="231F20"/>
          <w:sz w:val="20"/>
          <w:szCs w:val="20"/>
        </w:rPr>
        <w:tab/>
      </w:r>
      <w:r w:rsidR="0070181A" w:rsidRPr="005D0461">
        <w:rPr>
          <w:color w:val="231F20"/>
          <w:sz w:val="20"/>
          <w:szCs w:val="20"/>
        </w:rPr>
        <w:t xml:space="preserve">The Shariah Advisor as appointed for a period mutually agreed between the Management Company and such Shariah Advisor, as disclosed in the Offering Document and may be re-appointed on completion of the term. The Management Company may terminate the agreement of such Shariah Advisor and appoint a new Shariah Advisor in its place under intimation to the Trustee. Provided that the </w:t>
      </w:r>
      <w:r w:rsidR="0070181A" w:rsidRPr="005D0461">
        <w:rPr>
          <w:color w:val="231F20"/>
          <w:sz w:val="20"/>
          <w:szCs w:val="20"/>
        </w:rPr>
        <w:lastRenderedPageBreak/>
        <w:t>Management Company shall inform the Commission at least one month in advance for change in the Shariah Advisor.</w:t>
      </w:r>
      <w:bookmarkEnd w:id="39"/>
      <w:bookmarkEnd w:id="40"/>
    </w:p>
    <w:p w:rsidR="0070181A" w:rsidRPr="005D0461" w:rsidRDefault="0070181A" w:rsidP="005D0461">
      <w:pPr>
        <w:adjustRightInd w:val="0"/>
        <w:ind w:left="432" w:right="1020"/>
        <w:jc w:val="both"/>
        <w:rPr>
          <w:color w:val="221F1F"/>
          <w:w w:val="102"/>
          <w:sz w:val="20"/>
          <w:szCs w:val="20"/>
        </w:rPr>
      </w:pPr>
    </w:p>
    <w:p w:rsidR="0070181A" w:rsidRPr="005D0461" w:rsidRDefault="00765E07" w:rsidP="005D0461">
      <w:pPr>
        <w:tabs>
          <w:tab w:val="left" w:pos="2160"/>
        </w:tabs>
        <w:adjustRightInd w:val="0"/>
        <w:ind w:left="432" w:right="1020"/>
        <w:jc w:val="both"/>
        <w:rPr>
          <w:color w:val="221F1F"/>
          <w:w w:val="103"/>
          <w:sz w:val="20"/>
          <w:szCs w:val="20"/>
        </w:rPr>
      </w:pPr>
      <w:r w:rsidRPr="005D0461">
        <w:rPr>
          <w:color w:val="221F1F"/>
          <w:w w:val="103"/>
          <w:sz w:val="20"/>
          <w:szCs w:val="20"/>
        </w:rPr>
        <w:t xml:space="preserve">                </w:t>
      </w:r>
      <w:r w:rsidR="000020BF" w:rsidRPr="005D0461">
        <w:rPr>
          <w:color w:val="221F1F"/>
          <w:w w:val="103"/>
          <w:sz w:val="20"/>
          <w:szCs w:val="20"/>
        </w:rPr>
        <w:t>3.11.4</w:t>
      </w:r>
      <w:r w:rsidR="000020BF" w:rsidRPr="005D0461">
        <w:rPr>
          <w:color w:val="221F1F"/>
          <w:w w:val="103"/>
          <w:sz w:val="20"/>
          <w:szCs w:val="20"/>
        </w:rPr>
        <w:tab/>
      </w:r>
      <w:r w:rsidR="0070181A" w:rsidRPr="005D0461">
        <w:rPr>
          <w:color w:val="221F1F"/>
          <w:w w:val="103"/>
          <w:sz w:val="20"/>
          <w:szCs w:val="20"/>
        </w:rPr>
        <w:t>The Shariah Advisor shall</w:t>
      </w:r>
    </w:p>
    <w:p w:rsidR="0070181A" w:rsidRPr="005D0461" w:rsidRDefault="0070181A" w:rsidP="005D0461">
      <w:pPr>
        <w:adjustRightInd w:val="0"/>
        <w:spacing w:line="253" w:lineRule="exact"/>
        <w:ind w:left="1872" w:right="1020"/>
        <w:rPr>
          <w:color w:val="221F1F"/>
          <w:w w:val="103"/>
          <w:sz w:val="20"/>
          <w:szCs w:val="20"/>
        </w:rPr>
      </w:pPr>
    </w:p>
    <w:p w:rsidR="0070181A" w:rsidRPr="005D0461" w:rsidRDefault="0070181A" w:rsidP="005D0461">
      <w:pPr>
        <w:pStyle w:val="ListParagraph"/>
        <w:numPr>
          <w:ilvl w:val="0"/>
          <w:numId w:val="46"/>
        </w:numPr>
        <w:tabs>
          <w:tab w:val="left" w:pos="2160"/>
        </w:tabs>
        <w:adjustRightInd w:val="0"/>
        <w:ind w:right="1020"/>
        <w:jc w:val="both"/>
        <w:rPr>
          <w:color w:val="000009"/>
          <w:w w:val="105"/>
          <w:sz w:val="20"/>
          <w:szCs w:val="20"/>
        </w:rPr>
      </w:pPr>
      <w:r w:rsidRPr="005D0461">
        <w:rPr>
          <w:color w:val="000009"/>
          <w:w w:val="104"/>
          <w:sz w:val="20"/>
          <w:szCs w:val="20"/>
        </w:rPr>
        <w:t xml:space="preserve">Provide technical guidance and support on an ongoing basis on various aspects of Shariah so as to </w:t>
      </w:r>
      <w:r w:rsidRPr="005D0461">
        <w:rPr>
          <w:color w:val="000009"/>
          <w:w w:val="105"/>
          <w:sz w:val="20"/>
          <w:szCs w:val="20"/>
        </w:rPr>
        <w:t xml:space="preserve">enable the Management Company to operate the Fund as a Shariah Compliant collective investment scheme. </w:t>
      </w:r>
    </w:p>
    <w:p w:rsidR="0070181A" w:rsidRPr="005D0461" w:rsidRDefault="0070181A" w:rsidP="005D0461">
      <w:pPr>
        <w:adjustRightInd w:val="0"/>
        <w:ind w:left="2520" w:right="1020" w:hanging="360"/>
        <w:jc w:val="both"/>
        <w:rPr>
          <w:color w:val="000009"/>
          <w:w w:val="105"/>
          <w:sz w:val="20"/>
          <w:szCs w:val="20"/>
        </w:rPr>
      </w:pPr>
    </w:p>
    <w:p w:rsidR="0070181A" w:rsidRPr="005D0461" w:rsidRDefault="0070181A" w:rsidP="005D0461">
      <w:pPr>
        <w:tabs>
          <w:tab w:val="left" w:pos="2160"/>
        </w:tabs>
        <w:adjustRightInd w:val="0"/>
        <w:ind w:left="2520" w:right="1020" w:hanging="360"/>
        <w:jc w:val="both"/>
        <w:rPr>
          <w:color w:val="000009"/>
          <w:spacing w:val="-1"/>
          <w:sz w:val="20"/>
          <w:szCs w:val="20"/>
        </w:rPr>
      </w:pPr>
      <w:r w:rsidRPr="005D0461">
        <w:rPr>
          <w:color w:val="000009"/>
          <w:w w:val="113"/>
          <w:sz w:val="20"/>
          <w:szCs w:val="20"/>
        </w:rPr>
        <w:t xml:space="preserve">(b) </w:t>
      </w:r>
      <w:r w:rsidRPr="005D0461">
        <w:rPr>
          <w:color w:val="000009"/>
          <w:w w:val="113"/>
          <w:sz w:val="20"/>
          <w:szCs w:val="20"/>
        </w:rPr>
        <w:tab/>
      </w:r>
      <w:r w:rsidRPr="005D0461">
        <w:rPr>
          <w:color w:val="000009"/>
          <w:w w:val="109"/>
          <w:sz w:val="20"/>
          <w:szCs w:val="20"/>
        </w:rPr>
        <w:t xml:space="preserve">Recommend general investment guidelines consistent with the Shariah. Any </w:t>
      </w:r>
      <w:r w:rsidRPr="005D0461">
        <w:rPr>
          <w:color w:val="000009"/>
          <w:spacing w:val="-1"/>
          <w:sz w:val="20"/>
          <w:szCs w:val="20"/>
        </w:rPr>
        <w:t xml:space="preserve">verdict issued by the Shariah Advisor in respect of any Shariah related matter shall </w:t>
      </w:r>
      <w:r w:rsidRPr="005D0461">
        <w:rPr>
          <w:color w:val="000009"/>
          <w:w w:val="110"/>
          <w:sz w:val="20"/>
          <w:szCs w:val="20"/>
        </w:rPr>
        <w:t xml:space="preserve">be final and acceptable to the Trustee, the Management Company, the Unit </w:t>
      </w:r>
      <w:r w:rsidRPr="005D0461">
        <w:rPr>
          <w:color w:val="000009"/>
          <w:spacing w:val="-1"/>
          <w:sz w:val="20"/>
          <w:szCs w:val="20"/>
        </w:rPr>
        <w:t>Holders and other parties related with that matter.</w:t>
      </w:r>
      <w:r w:rsidR="005D21EC" w:rsidRPr="005D0461">
        <w:rPr>
          <w:color w:val="000009"/>
          <w:spacing w:val="-1"/>
          <w:sz w:val="20"/>
          <w:szCs w:val="20"/>
        </w:rPr>
        <w:t xml:space="preserve"> </w:t>
      </w:r>
      <w:r w:rsidRPr="005D0461">
        <w:rPr>
          <w:color w:val="000009"/>
          <w:spacing w:val="-1"/>
          <w:sz w:val="20"/>
          <w:szCs w:val="20"/>
        </w:rPr>
        <w:t xml:space="preserve">in case of any dispute, the matter shall be referred to the Commission. </w:t>
      </w:r>
    </w:p>
    <w:p w:rsidR="0070181A" w:rsidRPr="005D0461" w:rsidRDefault="0070181A" w:rsidP="005D0461">
      <w:pPr>
        <w:adjustRightInd w:val="0"/>
        <w:ind w:left="2520" w:right="1020" w:hanging="360"/>
        <w:jc w:val="both"/>
        <w:rPr>
          <w:color w:val="000009"/>
          <w:spacing w:val="-1"/>
          <w:sz w:val="20"/>
          <w:szCs w:val="20"/>
        </w:rPr>
      </w:pPr>
    </w:p>
    <w:p w:rsidR="0070181A" w:rsidRPr="005D0461" w:rsidRDefault="0070181A" w:rsidP="005D0461">
      <w:pPr>
        <w:tabs>
          <w:tab w:val="left" w:pos="2160"/>
        </w:tabs>
        <w:adjustRightInd w:val="0"/>
        <w:ind w:left="2520" w:right="1020" w:hanging="360"/>
        <w:jc w:val="both"/>
        <w:rPr>
          <w:color w:val="000009"/>
          <w:w w:val="103"/>
          <w:sz w:val="20"/>
          <w:szCs w:val="20"/>
        </w:rPr>
      </w:pPr>
      <w:r w:rsidRPr="005D0461">
        <w:rPr>
          <w:color w:val="000009"/>
          <w:w w:val="121"/>
          <w:sz w:val="20"/>
          <w:szCs w:val="20"/>
        </w:rPr>
        <w:t xml:space="preserve">(c) </w:t>
      </w:r>
      <w:r w:rsidRPr="005D0461">
        <w:rPr>
          <w:color w:val="000009"/>
          <w:w w:val="121"/>
          <w:sz w:val="20"/>
          <w:szCs w:val="20"/>
        </w:rPr>
        <w:tab/>
      </w:r>
      <w:r w:rsidRPr="005D0461">
        <w:rPr>
          <w:color w:val="000009"/>
          <w:w w:val="108"/>
          <w:sz w:val="20"/>
          <w:szCs w:val="20"/>
        </w:rPr>
        <w:t xml:space="preserve">At the end of annual Accounting Period, issue a Shariah review report, to be included in the </w:t>
      </w:r>
      <w:r w:rsidRPr="005D0461">
        <w:rPr>
          <w:color w:val="000009"/>
          <w:w w:val="102"/>
          <w:sz w:val="20"/>
          <w:szCs w:val="20"/>
        </w:rPr>
        <w:t xml:space="preserve">Fund's financial reports, in respect of Shariah Compliance of the preceding year's operations of the Fund and the Shariah Advisor may, at the expense of the Fund, </w:t>
      </w:r>
      <w:r w:rsidRPr="005D0461">
        <w:rPr>
          <w:color w:val="000009"/>
          <w:w w:val="103"/>
          <w:sz w:val="20"/>
          <w:szCs w:val="20"/>
        </w:rPr>
        <w:t xml:space="preserve">conduct such reviews or other investigations as may be necessary for the issuance of the Shariah review report. </w:t>
      </w:r>
    </w:p>
    <w:p w:rsidR="0070181A" w:rsidRPr="005D0461" w:rsidRDefault="0070181A" w:rsidP="005D0461">
      <w:pPr>
        <w:adjustRightInd w:val="0"/>
        <w:ind w:left="2520" w:right="1020" w:hanging="360"/>
        <w:jc w:val="both"/>
        <w:rPr>
          <w:color w:val="000009"/>
          <w:w w:val="103"/>
          <w:sz w:val="20"/>
          <w:szCs w:val="20"/>
        </w:rPr>
      </w:pPr>
    </w:p>
    <w:p w:rsidR="0070181A" w:rsidRPr="005D0461" w:rsidRDefault="0070181A" w:rsidP="005D0461">
      <w:pPr>
        <w:tabs>
          <w:tab w:val="left" w:pos="2160"/>
        </w:tabs>
        <w:adjustRightInd w:val="0"/>
        <w:ind w:left="2520" w:right="1020" w:hanging="360"/>
        <w:jc w:val="both"/>
        <w:rPr>
          <w:color w:val="000009"/>
          <w:w w:val="105"/>
          <w:sz w:val="20"/>
          <w:szCs w:val="20"/>
        </w:rPr>
      </w:pPr>
      <w:r w:rsidRPr="005D0461">
        <w:rPr>
          <w:color w:val="000009"/>
          <w:w w:val="111"/>
          <w:sz w:val="20"/>
          <w:szCs w:val="20"/>
        </w:rPr>
        <w:t xml:space="preserve">(d) </w:t>
      </w:r>
      <w:r w:rsidRPr="005D0461">
        <w:rPr>
          <w:color w:val="000009"/>
          <w:w w:val="111"/>
          <w:sz w:val="20"/>
          <w:szCs w:val="20"/>
        </w:rPr>
        <w:tab/>
      </w:r>
      <w:r w:rsidRPr="005D0461">
        <w:rPr>
          <w:color w:val="000009"/>
          <w:w w:val="110"/>
          <w:sz w:val="20"/>
          <w:szCs w:val="20"/>
        </w:rPr>
        <w:t xml:space="preserve">Co-ordinate with the Management Company in drawing up of the Deed and </w:t>
      </w:r>
      <w:r w:rsidRPr="005D0461">
        <w:rPr>
          <w:color w:val="000009"/>
          <w:spacing w:val="-1"/>
          <w:sz w:val="20"/>
          <w:szCs w:val="20"/>
        </w:rPr>
        <w:t xml:space="preserve">other related material documents including constitutive documents for the formation of the Unit Trust and to further </w:t>
      </w:r>
      <w:r w:rsidRPr="005D0461">
        <w:rPr>
          <w:color w:val="000009"/>
          <w:w w:val="107"/>
          <w:sz w:val="20"/>
          <w:szCs w:val="20"/>
        </w:rPr>
        <w:t>provide</w:t>
      </w:r>
      <w:r w:rsidRPr="003948BA">
        <w:rPr>
          <w:color w:val="000009"/>
          <w:w w:val="107"/>
        </w:rPr>
        <w:t xml:space="preserve"> technical guidance and </w:t>
      </w:r>
      <w:r w:rsidRPr="005D0461">
        <w:rPr>
          <w:color w:val="000009"/>
          <w:w w:val="107"/>
          <w:sz w:val="20"/>
          <w:szCs w:val="20"/>
        </w:rPr>
        <w:t xml:space="preserve">support in line with Shariah principles, so as to </w:t>
      </w:r>
      <w:r w:rsidRPr="005D0461">
        <w:rPr>
          <w:color w:val="000009"/>
          <w:w w:val="105"/>
          <w:sz w:val="20"/>
          <w:szCs w:val="20"/>
        </w:rPr>
        <w:t xml:space="preserve">enable the Management Company to operate the Unit Trust as a </w:t>
      </w:r>
      <w:proofErr w:type="spellStart"/>
      <w:r w:rsidRPr="005D0461">
        <w:rPr>
          <w:color w:val="000009"/>
          <w:w w:val="105"/>
          <w:sz w:val="20"/>
          <w:szCs w:val="20"/>
        </w:rPr>
        <w:t>Riba</w:t>
      </w:r>
      <w:proofErr w:type="spellEnd"/>
      <w:r w:rsidRPr="005D0461">
        <w:rPr>
          <w:color w:val="000009"/>
          <w:w w:val="105"/>
          <w:sz w:val="20"/>
          <w:szCs w:val="20"/>
        </w:rPr>
        <w:t xml:space="preserve"> free/Halal avenue of investment. </w:t>
      </w:r>
    </w:p>
    <w:p w:rsidR="0070181A" w:rsidRPr="005D0461" w:rsidRDefault="0070181A" w:rsidP="005D0461">
      <w:pPr>
        <w:adjustRightInd w:val="0"/>
        <w:ind w:left="2520" w:right="1020" w:hanging="360"/>
        <w:jc w:val="both"/>
        <w:rPr>
          <w:color w:val="000009"/>
          <w:w w:val="105"/>
          <w:sz w:val="20"/>
          <w:szCs w:val="20"/>
        </w:rPr>
      </w:pPr>
    </w:p>
    <w:p w:rsidR="0070181A" w:rsidRPr="005D0461" w:rsidRDefault="0070181A" w:rsidP="005D0461">
      <w:pPr>
        <w:tabs>
          <w:tab w:val="left" w:pos="2160"/>
        </w:tabs>
        <w:adjustRightInd w:val="0"/>
        <w:ind w:left="2520" w:right="1020" w:hanging="360"/>
        <w:jc w:val="both"/>
        <w:rPr>
          <w:color w:val="000009"/>
          <w:spacing w:val="-2"/>
          <w:sz w:val="20"/>
          <w:szCs w:val="20"/>
        </w:rPr>
      </w:pPr>
      <w:r w:rsidRPr="005D0461">
        <w:rPr>
          <w:color w:val="000009"/>
          <w:w w:val="101"/>
          <w:sz w:val="20"/>
          <w:szCs w:val="20"/>
        </w:rPr>
        <w:t xml:space="preserve">(f) </w:t>
      </w:r>
      <w:r w:rsidRPr="005D0461">
        <w:rPr>
          <w:color w:val="000009"/>
          <w:w w:val="101"/>
          <w:sz w:val="20"/>
          <w:szCs w:val="20"/>
        </w:rPr>
        <w:tab/>
      </w:r>
      <w:r w:rsidRPr="005D0461">
        <w:rPr>
          <w:color w:val="000009"/>
          <w:w w:val="107"/>
          <w:sz w:val="20"/>
          <w:szCs w:val="20"/>
        </w:rPr>
        <w:t xml:space="preserve">Certify that all the provisions of the Constitutive Documents of the Fund and </w:t>
      </w:r>
      <w:r w:rsidRPr="005D0461">
        <w:rPr>
          <w:color w:val="000009"/>
          <w:w w:val="104"/>
          <w:sz w:val="20"/>
          <w:szCs w:val="20"/>
        </w:rPr>
        <w:t>proposed Investments to be made on account of the Fund are Shariah compliant</w:t>
      </w:r>
      <w:r w:rsidRPr="005D0461">
        <w:rPr>
          <w:color w:val="000009"/>
          <w:spacing w:val="-2"/>
          <w:sz w:val="20"/>
          <w:szCs w:val="20"/>
        </w:rPr>
        <w:t xml:space="preserve">. </w:t>
      </w:r>
    </w:p>
    <w:p w:rsidR="0070181A" w:rsidRPr="005D0461" w:rsidRDefault="0070181A" w:rsidP="005D0461">
      <w:pPr>
        <w:adjustRightInd w:val="0"/>
        <w:ind w:left="2520" w:right="1020" w:hanging="360"/>
        <w:jc w:val="both"/>
        <w:rPr>
          <w:color w:val="000009"/>
          <w:spacing w:val="-2"/>
          <w:sz w:val="20"/>
          <w:szCs w:val="20"/>
        </w:rPr>
      </w:pPr>
    </w:p>
    <w:p w:rsidR="0070181A" w:rsidRPr="005D0461" w:rsidRDefault="0070181A" w:rsidP="005D0461">
      <w:pPr>
        <w:tabs>
          <w:tab w:val="left" w:pos="2160"/>
        </w:tabs>
        <w:adjustRightInd w:val="0"/>
        <w:spacing w:line="253" w:lineRule="exact"/>
        <w:ind w:left="2520" w:right="1020" w:hanging="360"/>
        <w:rPr>
          <w:color w:val="000009"/>
          <w:spacing w:val="-1"/>
          <w:sz w:val="20"/>
          <w:szCs w:val="20"/>
        </w:rPr>
      </w:pPr>
      <w:r w:rsidRPr="005D0461">
        <w:rPr>
          <w:color w:val="000009"/>
          <w:spacing w:val="-1"/>
          <w:sz w:val="20"/>
          <w:szCs w:val="20"/>
        </w:rPr>
        <w:t>(g)</w:t>
      </w:r>
      <w:r w:rsidRPr="005D0461">
        <w:rPr>
          <w:color w:val="000009"/>
          <w:spacing w:val="-1"/>
          <w:sz w:val="20"/>
          <w:szCs w:val="20"/>
        </w:rPr>
        <w:tab/>
      </w:r>
      <w:r w:rsidRPr="005D0461">
        <w:rPr>
          <w:color w:val="000009"/>
          <w:sz w:val="20"/>
          <w:szCs w:val="20"/>
        </w:rPr>
        <w:t xml:space="preserve">Evaluate and advise upon all new financial instruments as and when introduced </w:t>
      </w:r>
      <w:r w:rsidRPr="005D0461">
        <w:rPr>
          <w:color w:val="000009"/>
          <w:spacing w:val="-1"/>
          <w:sz w:val="20"/>
          <w:szCs w:val="20"/>
        </w:rPr>
        <w:t>for their Shariah permissibility.</w:t>
      </w:r>
    </w:p>
    <w:p w:rsidR="0070181A" w:rsidRPr="005D0461" w:rsidRDefault="0070181A" w:rsidP="005D0461">
      <w:pPr>
        <w:adjustRightInd w:val="0"/>
        <w:spacing w:line="253" w:lineRule="exact"/>
        <w:ind w:left="2520" w:right="1020" w:hanging="360"/>
        <w:rPr>
          <w:color w:val="000009"/>
          <w:spacing w:val="-1"/>
          <w:sz w:val="20"/>
          <w:szCs w:val="20"/>
        </w:rPr>
      </w:pPr>
    </w:p>
    <w:p w:rsidR="0070181A" w:rsidRPr="005D0461" w:rsidRDefault="0070181A" w:rsidP="005D0461">
      <w:pPr>
        <w:tabs>
          <w:tab w:val="left" w:pos="2160"/>
        </w:tabs>
        <w:adjustRightInd w:val="0"/>
        <w:ind w:left="2520" w:right="1020" w:hanging="360"/>
        <w:jc w:val="both"/>
        <w:rPr>
          <w:color w:val="000009"/>
          <w:w w:val="103"/>
          <w:sz w:val="20"/>
          <w:szCs w:val="20"/>
        </w:rPr>
      </w:pPr>
      <w:r w:rsidRPr="005D0461">
        <w:rPr>
          <w:color w:val="000009"/>
          <w:w w:val="102"/>
          <w:sz w:val="20"/>
          <w:szCs w:val="20"/>
        </w:rPr>
        <w:t xml:space="preserve">(h) </w:t>
      </w:r>
      <w:r w:rsidRPr="005D0461">
        <w:rPr>
          <w:color w:val="000009"/>
          <w:w w:val="102"/>
          <w:sz w:val="20"/>
          <w:szCs w:val="20"/>
        </w:rPr>
        <w:tab/>
      </w:r>
      <w:r w:rsidRPr="005D0461">
        <w:rPr>
          <w:color w:val="000009"/>
          <w:w w:val="103"/>
          <w:sz w:val="20"/>
          <w:szCs w:val="20"/>
        </w:rPr>
        <w:t>Decide the methodology for calculation and distribution of “Haram income‟ and to d</w:t>
      </w:r>
      <w:r w:rsidRPr="005D0461">
        <w:rPr>
          <w:color w:val="000009"/>
          <w:sz w:val="20"/>
          <w:szCs w:val="20"/>
        </w:rPr>
        <w:t xml:space="preserve">etermine percentage of income and cash flows from activities not in accordance with the principles of the Shariah, and recommend to the </w:t>
      </w:r>
      <w:r w:rsidR="005D21EC" w:rsidRPr="005D0461">
        <w:rPr>
          <w:color w:val="000009"/>
          <w:sz w:val="20"/>
          <w:szCs w:val="20"/>
        </w:rPr>
        <w:t xml:space="preserve"> </w:t>
      </w:r>
      <w:r w:rsidRPr="005D0461">
        <w:rPr>
          <w:color w:val="000009"/>
          <w:sz w:val="20"/>
          <w:szCs w:val="20"/>
        </w:rPr>
        <w:t>Management Company the criteria for selection of registered Charities  to whom such sums shall be donated.</w:t>
      </w:r>
    </w:p>
    <w:p w:rsidR="005E5B48" w:rsidRPr="003948BA" w:rsidRDefault="005E5B48">
      <w:pPr>
        <w:pStyle w:val="BodyText"/>
        <w:rPr>
          <w:sz w:val="22"/>
        </w:rPr>
      </w:pPr>
      <w:bookmarkStart w:id="41" w:name="_bookmark31"/>
      <w:bookmarkEnd w:id="41"/>
    </w:p>
    <w:p w:rsidR="005E5B48" w:rsidRPr="003948BA" w:rsidRDefault="005E5B48">
      <w:pPr>
        <w:pStyle w:val="BodyText"/>
        <w:rPr>
          <w:sz w:val="18"/>
        </w:rPr>
      </w:pPr>
    </w:p>
    <w:p w:rsidR="005E5B48" w:rsidRPr="003948BA" w:rsidRDefault="00814043" w:rsidP="00A002A6">
      <w:pPr>
        <w:pStyle w:val="Heading5"/>
        <w:numPr>
          <w:ilvl w:val="1"/>
          <w:numId w:val="30"/>
        </w:numPr>
        <w:tabs>
          <w:tab w:val="left" w:pos="1606"/>
          <w:tab w:val="left" w:pos="1607"/>
        </w:tabs>
        <w:ind w:left="1606" w:hanging="686"/>
        <w:jc w:val="left"/>
      </w:pPr>
      <w:bookmarkStart w:id="42" w:name="_bookmark32"/>
      <w:bookmarkEnd w:id="42"/>
      <w:r w:rsidRPr="003948BA">
        <w:t>Transfer</w:t>
      </w:r>
      <w:r w:rsidRPr="003948BA">
        <w:rPr>
          <w:spacing w:val="-5"/>
        </w:rPr>
        <w:t xml:space="preserve"> </w:t>
      </w:r>
      <w:r w:rsidRPr="003948BA">
        <w:t>Agent</w:t>
      </w:r>
    </w:p>
    <w:p w:rsidR="005E5B48" w:rsidRPr="003948BA" w:rsidRDefault="00814043">
      <w:pPr>
        <w:pStyle w:val="BodyText"/>
        <w:spacing w:before="61"/>
        <w:ind w:left="1640" w:right="1010"/>
        <w:jc w:val="both"/>
      </w:pPr>
      <w:r w:rsidRPr="003948BA">
        <w:t xml:space="preserve">The Management Company will perform duties (has appointed </w:t>
      </w:r>
      <w:r w:rsidRPr="003948BA">
        <w:rPr>
          <w:b/>
        </w:rPr>
        <w:t xml:space="preserve">UBL Fund Managers Ltd. </w:t>
      </w:r>
      <w:r w:rsidRPr="003948BA">
        <w:t>having its office at 4th Floor, STSM Building, Beaumont Road, Civil Lines, Karachi ) as the Transfer Agent of the Fund until any further notice and intimation to the Trustee. The Management Company will be responsible for maintaining the Unit Holders Register, preparing and issuing account statements, Unit Certificates and dividend warrants/advice and providing related services to the Unit Holders.</w:t>
      </w:r>
    </w:p>
    <w:p w:rsidR="005E5B48" w:rsidRPr="003948BA" w:rsidRDefault="005E5B48">
      <w:pPr>
        <w:pStyle w:val="BodyText"/>
        <w:spacing w:before="3"/>
        <w:rPr>
          <w:sz w:val="32"/>
        </w:rPr>
      </w:pPr>
    </w:p>
    <w:p w:rsidR="005E5B48" w:rsidRPr="003948BA" w:rsidRDefault="00814043" w:rsidP="00A002A6">
      <w:pPr>
        <w:pStyle w:val="Heading5"/>
        <w:numPr>
          <w:ilvl w:val="1"/>
          <w:numId w:val="30"/>
        </w:numPr>
        <w:tabs>
          <w:tab w:val="left" w:pos="1640"/>
          <w:tab w:val="left" w:pos="1641"/>
        </w:tabs>
        <w:spacing w:before="1"/>
        <w:ind w:left="1640" w:hanging="720"/>
        <w:jc w:val="left"/>
      </w:pPr>
      <w:bookmarkStart w:id="43" w:name="_bookmark33"/>
      <w:bookmarkEnd w:id="43"/>
      <w:r w:rsidRPr="003948BA">
        <w:t>Custodian /</w:t>
      </w:r>
      <w:r w:rsidRPr="003948BA">
        <w:rPr>
          <w:spacing w:val="-9"/>
        </w:rPr>
        <w:t xml:space="preserve"> </w:t>
      </w:r>
      <w:r w:rsidRPr="003948BA">
        <w:t>Trustee</w:t>
      </w:r>
    </w:p>
    <w:p w:rsidR="005E5B48" w:rsidRPr="003948BA" w:rsidRDefault="00814043">
      <w:pPr>
        <w:pStyle w:val="BodyText"/>
        <w:spacing w:before="58" w:line="242" w:lineRule="auto"/>
        <w:ind w:left="1640" w:right="1010"/>
        <w:jc w:val="both"/>
      </w:pPr>
      <w:r w:rsidRPr="003948BA">
        <w:rPr>
          <w:b/>
        </w:rPr>
        <w:t xml:space="preserve">CDC Trustee, </w:t>
      </w:r>
      <w:r w:rsidRPr="003948BA">
        <w:t xml:space="preserve">with offices at “CDC House 99-B, S.M.C.H.S Main </w:t>
      </w:r>
      <w:proofErr w:type="spellStart"/>
      <w:r w:rsidRPr="003948BA">
        <w:t>Shahra</w:t>
      </w:r>
      <w:proofErr w:type="spellEnd"/>
      <w:r w:rsidRPr="003948BA">
        <w:t>-e-Faisal, Karachi”, will also be performing the functions of the custodian of the Trust Property. The salient features of the custodial function are:</w:t>
      </w:r>
    </w:p>
    <w:p w:rsidR="005E5B48" w:rsidRPr="003948BA" w:rsidRDefault="005E5B48">
      <w:pPr>
        <w:pStyle w:val="BodyText"/>
      </w:pPr>
    </w:p>
    <w:p w:rsidR="005E5B48" w:rsidRPr="003948BA" w:rsidRDefault="00814043" w:rsidP="00A002A6">
      <w:pPr>
        <w:pStyle w:val="ListParagraph"/>
        <w:numPr>
          <w:ilvl w:val="2"/>
          <w:numId w:val="30"/>
        </w:numPr>
        <w:tabs>
          <w:tab w:val="left" w:pos="2001"/>
        </w:tabs>
        <w:ind w:right="1479"/>
        <w:rPr>
          <w:sz w:val="20"/>
        </w:rPr>
      </w:pPr>
      <w:r w:rsidRPr="003948BA">
        <w:rPr>
          <w:sz w:val="20"/>
        </w:rPr>
        <w:t>Segregating</w:t>
      </w:r>
      <w:r w:rsidRPr="003948BA">
        <w:rPr>
          <w:spacing w:val="-4"/>
          <w:sz w:val="20"/>
        </w:rPr>
        <w:t xml:space="preserve"> </w:t>
      </w:r>
      <w:r w:rsidRPr="003948BA">
        <w:rPr>
          <w:sz w:val="20"/>
        </w:rPr>
        <w:t>all</w:t>
      </w:r>
      <w:r w:rsidRPr="003948BA">
        <w:rPr>
          <w:spacing w:val="-7"/>
          <w:sz w:val="20"/>
        </w:rPr>
        <w:t xml:space="preserve"> </w:t>
      </w:r>
      <w:r w:rsidRPr="003948BA">
        <w:rPr>
          <w:sz w:val="20"/>
        </w:rPr>
        <w:t>property</w:t>
      </w:r>
      <w:r w:rsidRPr="003948BA">
        <w:rPr>
          <w:spacing w:val="-9"/>
          <w:sz w:val="20"/>
        </w:rPr>
        <w:t xml:space="preserve"> </w:t>
      </w:r>
      <w:r w:rsidRPr="003948BA">
        <w:rPr>
          <w:sz w:val="20"/>
        </w:rPr>
        <w:t>of</w:t>
      </w:r>
      <w:r w:rsidRPr="003948BA">
        <w:rPr>
          <w:spacing w:val="-2"/>
          <w:sz w:val="20"/>
        </w:rPr>
        <w:t xml:space="preserve"> </w:t>
      </w:r>
      <w:r w:rsidRPr="003948BA">
        <w:rPr>
          <w:sz w:val="20"/>
        </w:rPr>
        <w:t>the</w:t>
      </w:r>
      <w:r w:rsidRPr="003948BA">
        <w:rPr>
          <w:spacing w:val="-6"/>
          <w:sz w:val="20"/>
        </w:rPr>
        <w:t xml:space="preserve"> </w:t>
      </w:r>
      <w:r w:rsidRPr="003948BA">
        <w:rPr>
          <w:sz w:val="20"/>
        </w:rPr>
        <w:t>Fund</w:t>
      </w:r>
      <w:r w:rsidRPr="003948BA">
        <w:rPr>
          <w:spacing w:val="-7"/>
          <w:sz w:val="20"/>
        </w:rPr>
        <w:t xml:space="preserve"> </w:t>
      </w:r>
      <w:r w:rsidRPr="003948BA">
        <w:rPr>
          <w:sz w:val="20"/>
        </w:rPr>
        <w:t>from</w:t>
      </w:r>
      <w:r w:rsidRPr="003948BA">
        <w:rPr>
          <w:spacing w:val="-2"/>
          <w:sz w:val="20"/>
        </w:rPr>
        <w:t xml:space="preserve"> </w:t>
      </w:r>
      <w:proofErr w:type="spellStart"/>
      <w:r w:rsidRPr="003948BA">
        <w:rPr>
          <w:sz w:val="20"/>
        </w:rPr>
        <w:t>Custodian‟s</w:t>
      </w:r>
      <w:proofErr w:type="spellEnd"/>
      <w:r w:rsidRPr="003948BA">
        <w:rPr>
          <w:spacing w:val="-3"/>
          <w:sz w:val="20"/>
        </w:rPr>
        <w:t xml:space="preserve"> </w:t>
      </w:r>
      <w:r w:rsidRPr="003948BA">
        <w:rPr>
          <w:sz w:val="20"/>
        </w:rPr>
        <w:t>own</w:t>
      </w:r>
      <w:r w:rsidRPr="003948BA">
        <w:rPr>
          <w:spacing w:val="-6"/>
          <w:sz w:val="20"/>
        </w:rPr>
        <w:t xml:space="preserve"> </w:t>
      </w:r>
      <w:r w:rsidRPr="003948BA">
        <w:rPr>
          <w:sz w:val="20"/>
        </w:rPr>
        <w:t>property</w:t>
      </w:r>
      <w:r w:rsidRPr="003948BA">
        <w:rPr>
          <w:spacing w:val="-9"/>
          <w:sz w:val="20"/>
        </w:rPr>
        <w:t xml:space="preserve"> </w:t>
      </w:r>
      <w:r w:rsidRPr="003948BA">
        <w:rPr>
          <w:sz w:val="20"/>
        </w:rPr>
        <w:t>and</w:t>
      </w:r>
      <w:r w:rsidRPr="003948BA">
        <w:rPr>
          <w:spacing w:val="-7"/>
          <w:sz w:val="20"/>
        </w:rPr>
        <w:t xml:space="preserve"> </w:t>
      </w:r>
      <w:r w:rsidRPr="003948BA">
        <w:rPr>
          <w:sz w:val="20"/>
        </w:rPr>
        <w:t>that</w:t>
      </w:r>
      <w:r w:rsidRPr="003948BA">
        <w:rPr>
          <w:spacing w:val="-4"/>
          <w:sz w:val="20"/>
        </w:rPr>
        <w:t xml:space="preserve"> </w:t>
      </w:r>
      <w:r w:rsidRPr="003948BA">
        <w:rPr>
          <w:sz w:val="20"/>
        </w:rPr>
        <w:t>of</w:t>
      </w:r>
      <w:r w:rsidRPr="003948BA">
        <w:rPr>
          <w:spacing w:val="-4"/>
          <w:sz w:val="20"/>
        </w:rPr>
        <w:t xml:space="preserve"> </w:t>
      </w:r>
      <w:r w:rsidRPr="003948BA">
        <w:rPr>
          <w:sz w:val="20"/>
        </w:rPr>
        <w:t>its other</w:t>
      </w:r>
      <w:r w:rsidRPr="003948BA">
        <w:rPr>
          <w:spacing w:val="-6"/>
          <w:sz w:val="20"/>
        </w:rPr>
        <w:t xml:space="preserve"> </w:t>
      </w:r>
      <w:r w:rsidRPr="003948BA">
        <w:rPr>
          <w:sz w:val="20"/>
        </w:rPr>
        <w:t>clients.</w:t>
      </w:r>
    </w:p>
    <w:p w:rsidR="005E5B48" w:rsidRPr="003948BA" w:rsidRDefault="00814043" w:rsidP="00A002A6">
      <w:pPr>
        <w:pStyle w:val="ListParagraph"/>
        <w:numPr>
          <w:ilvl w:val="2"/>
          <w:numId w:val="30"/>
        </w:numPr>
        <w:tabs>
          <w:tab w:val="left" w:pos="2001"/>
        </w:tabs>
        <w:spacing w:before="1"/>
        <w:ind w:right="1759"/>
        <w:rPr>
          <w:sz w:val="20"/>
        </w:rPr>
      </w:pPr>
      <w:r w:rsidRPr="003948BA">
        <w:rPr>
          <w:sz w:val="20"/>
        </w:rPr>
        <w:t>Assuring the smooth inflow/outflow of dematerialized securities and such other instruments as</w:t>
      </w:r>
      <w:r w:rsidRPr="003948BA">
        <w:rPr>
          <w:spacing w:val="-9"/>
          <w:sz w:val="20"/>
        </w:rPr>
        <w:t xml:space="preserve"> </w:t>
      </w:r>
      <w:r w:rsidRPr="003948BA">
        <w:rPr>
          <w:sz w:val="20"/>
        </w:rPr>
        <w:t>required.</w:t>
      </w:r>
    </w:p>
    <w:p w:rsidR="005E5B48" w:rsidRPr="003948BA" w:rsidRDefault="00814043" w:rsidP="00A002A6">
      <w:pPr>
        <w:pStyle w:val="ListParagraph"/>
        <w:numPr>
          <w:ilvl w:val="2"/>
          <w:numId w:val="30"/>
        </w:numPr>
        <w:tabs>
          <w:tab w:val="left" w:pos="2001"/>
        </w:tabs>
        <w:spacing w:before="1"/>
        <w:ind w:right="1771"/>
        <w:rPr>
          <w:sz w:val="20"/>
        </w:rPr>
      </w:pPr>
      <w:r w:rsidRPr="003948BA">
        <w:rPr>
          <w:sz w:val="20"/>
        </w:rPr>
        <w:t xml:space="preserve">Ensuring that the benefits due on investments are received and credited to the respective Allocation </w:t>
      </w:r>
      <w:proofErr w:type="spellStart"/>
      <w:r w:rsidRPr="003948BA">
        <w:rPr>
          <w:sz w:val="20"/>
        </w:rPr>
        <w:t>Plan‟s</w:t>
      </w:r>
      <w:proofErr w:type="spellEnd"/>
      <w:r w:rsidRPr="003948BA">
        <w:rPr>
          <w:spacing w:val="-8"/>
          <w:sz w:val="20"/>
        </w:rPr>
        <w:t xml:space="preserve"> </w:t>
      </w:r>
      <w:r w:rsidRPr="003948BA">
        <w:rPr>
          <w:sz w:val="20"/>
        </w:rPr>
        <w:t>account.</w:t>
      </w:r>
    </w:p>
    <w:p w:rsidR="005E5B48" w:rsidRPr="003948BA" w:rsidRDefault="005E5B48">
      <w:pPr>
        <w:pStyle w:val="BodyText"/>
        <w:spacing w:before="7"/>
        <w:rPr>
          <w:sz w:val="19"/>
        </w:rPr>
      </w:pPr>
    </w:p>
    <w:p w:rsidR="004724FC" w:rsidRPr="003948BA" w:rsidRDefault="00814043" w:rsidP="005A03AE">
      <w:pPr>
        <w:pStyle w:val="BodyText"/>
        <w:spacing w:before="1"/>
        <w:ind w:left="1640" w:right="1021"/>
        <w:jc w:val="both"/>
        <w:rPr>
          <w:sz w:val="30"/>
        </w:rPr>
      </w:pPr>
      <w:r w:rsidRPr="003948BA">
        <w:t>The Trustee may, in consultation with the Management Company, from time to time, appoint, remove or replace one or more Custodian(s) for performing the Custodian Function at one or more locations, on terms and conditions to be agreed between the Custodian and the Trustee and agreed by the Management Company for the safe keeping of any portion of the Trust Property.</w:t>
      </w:r>
    </w:p>
    <w:p w:rsidR="005E5B48" w:rsidRPr="003948BA" w:rsidRDefault="005E5B48">
      <w:pPr>
        <w:pStyle w:val="BodyText"/>
        <w:spacing w:before="1"/>
        <w:rPr>
          <w:sz w:val="30"/>
        </w:rPr>
      </w:pPr>
    </w:p>
    <w:p w:rsidR="005E5B48" w:rsidRPr="003948BA" w:rsidRDefault="00814043" w:rsidP="00A002A6">
      <w:pPr>
        <w:pStyle w:val="Heading5"/>
        <w:numPr>
          <w:ilvl w:val="1"/>
          <w:numId w:val="30"/>
        </w:numPr>
        <w:tabs>
          <w:tab w:val="left" w:pos="2000"/>
          <w:tab w:val="left" w:pos="2001"/>
        </w:tabs>
        <w:spacing w:before="1"/>
        <w:ind w:left="2000" w:hanging="720"/>
        <w:jc w:val="left"/>
      </w:pPr>
      <w:bookmarkStart w:id="44" w:name="_bookmark34"/>
      <w:bookmarkEnd w:id="44"/>
      <w:r w:rsidRPr="003948BA">
        <w:t>Distributors/Facilitators</w:t>
      </w:r>
    </w:p>
    <w:p w:rsidR="005E5B48" w:rsidRPr="003948BA" w:rsidRDefault="005E5B48">
      <w:pPr>
        <w:pStyle w:val="BodyText"/>
        <w:spacing w:before="5"/>
        <w:rPr>
          <w:b/>
          <w:sz w:val="19"/>
        </w:rPr>
      </w:pPr>
    </w:p>
    <w:p w:rsidR="005E5B48" w:rsidRPr="003948BA" w:rsidRDefault="00814043" w:rsidP="00A002A6">
      <w:pPr>
        <w:pStyle w:val="ListParagraph"/>
        <w:numPr>
          <w:ilvl w:val="0"/>
          <w:numId w:val="29"/>
        </w:numPr>
        <w:tabs>
          <w:tab w:val="left" w:pos="2001"/>
        </w:tabs>
        <w:spacing w:before="93"/>
        <w:ind w:right="1004"/>
        <w:jc w:val="both"/>
      </w:pPr>
      <w:r w:rsidRPr="003948BA">
        <w:rPr>
          <w:sz w:val="20"/>
        </w:rPr>
        <w:t>Parties detailed in</w:t>
      </w:r>
      <w:r w:rsidR="00452737" w:rsidRPr="003948BA">
        <w:rPr>
          <w:sz w:val="20"/>
        </w:rPr>
        <w:t xml:space="preserve"> Annexure ‘C’ </w:t>
      </w:r>
      <w:r w:rsidRPr="003948BA">
        <w:rPr>
          <w:sz w:val="20"/>
        </w:rPr>
        <w:t>of this Offering Document have each been appointed as Distributors to perform the Distribution Functions at their Authorized Branches.</w:t>
      </w:r>
      <w:r w:rsidRPr="003948BA">
        <w:rPr>
          <w:spacing w:val="15"/>
          <w:sz w:val="20"/>
        </w:rPr>
        <w:t xml:space="preserve"> </w:t>
      </w:r>
      <w:r w:rsidRPr="003948BA">
        <w:rPr>
          <w:sz w:val="20"/>
        </w:rPr>
        <w:t>The</w:t>
      </w:r>
      <w:r w:rsidR="002826E9" w:rsidRPr="003948BA">
        <w:rPr>
          <w:sz w:val="20"/>
        </w:rPr>
        <w:t xml:space="preserve"> </w:t>
      </w:r>
      <w:r w:rsidRPr="003948BA">
        <w:t xml:space="preserve">addresses of these branches are given in </w:t>
      </w:r>
      <w:r w:rsidR="00452737" w:rsidRPr="003948BA">
        <w:t>Annexure ‘C’</w:t>
      </w:r>
      <w:r w:rsidRPr="003948BA">
        <w:t xml:space="preserve"> of this Offering Document</w:t>
      </w:r>
      <w:r w:rsidR="0048563C" w:rsidRPr="003948BA">
        <w:t>; these</w:t>
      </w:r>
      <w:r w:rsidRPr="003948BA">
        <w:t xml:space="preserve"> branches may be increased or decreased by the Management Company from time to time. The Management Company may, from time to time, appoint additional Distributors (if they fulfill the requirement of regulations) or terminate the arrangement with any Distributor and intimate the Trustee and the Commission accordingly. The Management Company may itself perform the functions of a Distributor either directly or through</w:t>
      </w:r>
      <w:r w:rsidRPr="003948BA">
        <w:rPr>
          <w:spacing w:val="-13"/>
        </w:rPr>
        <w:t xml:space="preserve"> </w:t>
      </w:r>
      <w:r w:rsidRPr="003948BA">
        <w:t>sub-distributors.</w:t>
      </w:r>
    </w:p>
    <w:p w:rsidR="005E5B48" w:rsidRPr="003948BA" w:rsidRDefault="005E5B48">
      <w:pPr>
        <w:pStyle w:val="BodyText"/>
        <w:spacing w:before="3"/>
      </w:pPr>
    </w:p>
    <w:p w:rsidR="005E5B48" w:rsidRPr="003948BA" w:rsidRDefault="00814043" w:rsidP="00A002A6">
      <w:pPr>
        <w:pStyle w:val="ListParagraph"/>
        <w:numPr>
          <w:ilvl w:val="0"/>
          <w:numId w:val="29"/>
        </w:numPr>
        <w:tabs>
          <w:tab w:val="left" w:pos="2001"/>
        </w:tabs>
        <w:ind w:right="1011" w:hanging="324"/>
        <w:jc w:val="both"/>
        <w:rPr>
          <w:sz w:val="20"/>
        </w:rPr>
      </w:pPr>
      <w:r w:rsidRPr="003948BA">
        <w:rPr>
          <w:sz w:val="20"/>
        </w:rPr>
        <w:t>The Distributors will be responsible for receiving applications for Purchase, Redemption, Conversion or Transfer of Units etc. They will be interfacing with and providing services to Unit Holders, including receiving applications for change of address or other particulars or applications for issuance of duplicate certificates, requests for income tax exemption or Zakat exemption, etc. for immediate transmission to the Management Company or Transfer Agent as appropriate for further action. The Management Company shall remunerate the Distributors out of its resources and/or from Sales</w:t>
      </w:r>
      <w:r w:rsidRPr="003948BA">
        <w:rPr>
          <w:spacing w:val="-11"/>
          <w:sz w:val="20"/>
        </w:rPr>
        <w:t xml:space="preserve"> </w:t>
      </w:r>
      <w:r w:rsidRPr="003948BA">
        <w:rPr>
          <w:sz w:val="20"/>
        </w:rPr>
        <w:t>Load.</w:t>
      </w:r>
    </w:p>
    <w:p w:rsidR="005E5B48" w:rsidRPr="003948BA" w:rsidRDefault="005E5B48">
      <w:pPr>
        <w:pStyle w:val="BodyText"/>
        <w:spacing w:before="9"/>
      </w:pPr>
    </w:p>
    <w:p w:rsidR="005E5B48" w:rsidRPr="003948BA" w:rsidRDefault="00814043" w:rsidP="00A002A6">
      <w:pPr>
        <w:pStyle w:val="ListParagraph"/>
        <w:numPr>
          <w:ilvl w:val="0"/>
          <w:numId w:val="29"/>
        </w:numPr>
        <w:tabs>
          <w:tab w:val="left" w:pos="2001"/>
        </w:tabs>
        <w:spacing w:before="1"/>
        <w:ind w:right="1019" w:hanging="370"/>
        <w:jc w:val="both"/>
        <w:rPr>
          <w:sz w:val="20"/>
        </w:rPr>
      </w:pPr>
      <w:r w:rsidRPr="003948BA">
        <w:rPr>
          <w:sz w:val="20"/>
        </w:rPr>
        <w:t>The Management Company may, at its sole discretion, from time to time, appoint Investment Facilitators (Facilitators). The Facilitators‟ function is to identify, solicit and assist investors in investing in the Fund. The Management Company shall remunerate the Facilitators out of its resources and/or from Front-end</w:t>
      </w:r>
      <w:r w:rsidRPr="003948BA">
        <w:rPr>
          <w:spacing w:val="-18"/>
          <w:sz w:val="20"/>
        </w:rPr>
        <w:t xml:space="preserve"> </w:t>
      </w:r>
      <w:r w:rsidRPr="003948BA">
        <w:rPr>
          <w:sz w:val="20"/>
        </w:rPr>
        <w:t>Load.</w:t>
      </w:r>
    </w:p>
    <w:p w:rsidR="005E5B48" w:rsidRPr="003948BA" w:rsidRDefault="005E5B48">
      <w:pPr>
        <w:pStyle w:val="BodyText"/>
        <w:rPr>
          <w:sz w:val="22"/>
        </w:rPr>
      </w:pPr>
    </w:p>
    <w:p w:rsidR="005E5B48" w:rsidRPr="003948BA" w:rsidRDefault="00814043" w:rsidP="00A002A6">
      <w:pPr>
        <w:pStyle w:val="Heading5"/>
        <w:numPr>
          <w:ilvl w:val="1"/>
          <w:numId w:val="30"/>
        </w:numPr>
        <w:tabs>
          <w:tab w:val="left" w:pos="2000"/>
          <w:tab w:val="left" w:pos="2001"/>
        </w:tabs>
        <w:spacing w:before="175"/>
        <w:ind w:left="2000" w:hanging="720"/>
        <w:jc w:val="left"/>
      </w:pPr>
      <w:bookmarkStart w:id="45" w:name="_bookmark35"/>
      <w:bookmarkEnd w:id="45"/>
      <w:r w:rsidRPr="003948BA">
        <w:t>Auditors</w:t>
      </w:r>
    </w:p>
    <w:p w:rsidR="005E5B48" w:rsidRPr="003948BA" w:rsidRDefault="005E5B48">
      <w:pPr>
        <w:pStyle w:val="BodyText"/>
        <w:spacing w:before="9"/>
        <w:rPr>
          <w:b/>
          <w:sz w:val="30"/>
        </w:rPr>
      </w:pPr>
    </w:p>
    <w:p w:rsidR="005E5B48" w:rsidRPr="003948BA" w:rsidRDefault="00F810B4">
      <w:pPr>
        <w:ind w:left="2000"/>
        <w:jc w:val="both"/>
        <w:rPr>
          <w:b/>
          <w:sz w:val="20"/>
        </w:rPr>
      </w:pPr>
      <w:r>
        <w:rPr>
          <w:b/>
          <w:sz w:val="20"/>
        </w:rPr>
        <w:t>EY Ford Rhodes</w:t>
      </w:r>
    </w:p>
    <w:p w:rsidR="00F810B4" w:rsidRDefault="00F810B4">
      <w:pPr>
        <w:pStyle w:val="BodyText"/>
        <w:spacing w:before="8"/>
        <w:ind w:left="2000"/>
        <w:jc w:val="both"/>
      </w:pPr>
      <w:r>
        <w:t xml:space="preserve">Progressive Plaza, </w:t>
      </w:r>
      <w:r w:rsidR="00FF57A5">
        <w:t>Beaumont</w:t>
      </w:r>
      <w:r>
        <w:t xml:space="preserve"> Road,</w:t>
      </w:r>
    </w:p>
    <w:p w:rsidR="005E5B48" w:rsidRPr="003948BA" w:rsidRDefault="00F810B4">
      <w:pPr>
        <w:pStyle w:val="BodyText"/>
        <w:spacing w:before="8"/>
        <w:ind w:left="2000"/>
        <w:jc w:val="both"/>
      </w:pPr>
      <w:proofErr w:type="spellStart"/>
      <w:r>
        <w:t>P.O.Bos</w:t>
      </w:r>
      <w:proofErr w:type="spellEnd"/>
      <w:r>
        <w:t xml:space="preserve"> 15541, Karachi </w:t>
      </w:r>
    </w:p>
    <w:p w:rsidR="005E5B48" w:rsidRPr="003948BA" w:rsidRDefault="005E5B48">
      <w:pPr>
        <w:pStyle w:val="BodyText"/>
        <w:spacing w:before="6"/>
      </w:pPr>
    </w:p>
    <w:p w:rsidR="005E5B48" w:rsidRPr="003948BA" w:rsidRDefault="00814043" w:rsidP="00A002A6">
      <w:pPr>
        <w:pStyle w:val="ListParagraph"/>
        <w:numPr>
          <w:ilvl w:val="0"/>
          <w:numId w:val="28"/>
        </w:numPr>
        <w:tabs>
          <w:tab w:val="left" w:pos="2001"/>
        </w:tabs>
        <w:ind w:right="1016"/>
        <w:jc w:val="both"/>
        <w:rPr>
          <w:sz w:val="20"/>
        </w:rPr>
      </w:pPr>
      <w:r w:rsidRPr="003948BA">
        <w:rPr>
          <w:sz w:val="20"/>
        </w:rPr>
        <w:t>They will hold office until the transmission of the reports and accounts, which will cover the period from commencement of the Trust up to the end of the Accounting Period and will, afterwards, be eligible for reappointment by the Management Company with the concurrence of the Trustee. However, an auditor may be reappointed for such terms as stipulated by the Regulations and/or the Ordinance, as amended from time to time. The appointment of Auditor and contents of the Auditor</w:t>
      </w:r>
      <w:r w:rsidR="00452737" w:rsidRPr="003948BA">
        <w:rPr>
          <w:sz w:val="20"/>
        </w:rPr>
        <w:t>’</w:t>
      </w:r>
      <w:r w:rsidRPr="003948BA">
        <w:rPr>
          <w:sz w:val="20"/>
        </w:rPr>
        <w:t>s report shall be in accordance with the provisions of the Rules and</w:t>
      </w:r>
      <w:r w:rsidRPr="003948BA">
        <w:rPr>
          <w:spacing w:val="-17"/>
          <w:sz w:val="20"/>
        </w:rPr>
        <w:t xml:space="preserve"> </w:t>
      </w:r>
      <w:r w:rsidRPr="003948BA">
        <w:rPr>
          <w:sz w:val="20"/>
        </w:rPr>
        <w:t>Regulations.</w:t>
      </w:r>
    </w:p>
    <w:p w:rsidR="005E5B48" w:rsidRPr="003948BA" w:rsidRDefault="005E5B48">
      <w:pPr>
        <w:pStyle w:val="BodyText"/>
        <w:spacing w:before="10"/>
      </w:pPr>
    </w:p>
    <w:p w:rsidR="005E5B48" w:rsidRPr="003948BA" w:rsidRDefault="00814043" w:rsidP="00A002A6">
      <w:pPr>
        <w:pStyle w:val="ListParagraph"/>
        <w:numPr>
          <w:ilvl w:val="0"/>
          <w:numId w:val="28"/>
        </w:numPr>
        <w:tabs>
          <w:tab w:val="left" w:pos="2001"/>
        </w:tabs>
        <w:ind w:right="1007" w:hanging="324"/>
        <w:jc w:val="both"/>
        <w:rPr>
          <w:sz w:val="20"/>
        </w:rPr>
      </w:pPr>
      <w:r w:rsidRPr="003948BA">
        <w:rPr>
          <w:sz w:val="20"/>
        </w:rPr>
        <w:t>The Auditors shall have access to the books, papers, accounts and vouchers of the Trust, whether kept at the office of the Management Company, Trustee, Custodian, Transfer Agent or elsewhere and shall be entitled to require from the Management Company, Trustee and their Directors, Officers and Agents such information and explanations as considered necessary for the performance of</w:t>
      </w:r>
      <w:r w:rsidRPr="003948BA">
        <w:rPr>
          <w:spacing w:val="-26"/>
          <w:sz w:val="20"/>
        </w:rPr>
        <w:t xml:space="preserve"> </w:t>
      </w:r>
      <w:r w:rsidRPr="003948BA">
        <w:rPr>
          <w:sz w:val="20"/>
        </w:rPr>
        <w:t>audit.</w:t>
      </w:r>
    </w:p>
    <w:p w:rsidR="005E5B48" w:rsidRPr="003948BA" w:rsidRDefault="005E5B48">
      <w:pPr>
        <w:pStyle w:val="BodyText"/>
        <w:spacing w:before="10"/>
      </w:pPr>
    </w:p>
    <w:p w:rsidR="005E5B48" w:rsidRPr="003948BA" w:rsidRDefault="00814043" w:rsidP="00A002A6">
      <w:pPr>
        <w:pStyle w:val="ListParagraph"/>
        <w:numPr>
          <w:ilvl w:val="0"/>
          <w:numId w:val="28"/>
        </w:numPr>
        <w:tabs>
          <w:tab w:val="left" w:pos="2001"/>
        </w:tabs>
        <w:spacing w:before="1"/>
        <w:ind w:right="1017" w:hanging="370"/>
        <w:jc w:val="both"/>
        <w:rPr>
          <w:sz w:val="20"/>
        </w:rPr>
      </w:pPr>
      <w:r w:rsidRPr="003948BA">
        <w:rPr>
          <w:sz w:val="20"/>
        </w:rPr>
        <w:t>The Trustee shall be entitled to require the Auditors to provide such further reports as may be agreed between the Trustee and the Management Company as may be considered necessary to facilitate the Trustee in issuing the certification required under the</w:t>
      </w:r>
      <w:r w:rsidRPr="003948BA">
        <w:rPr>
          <w:spacing w:val="-7"/>
          <w:sz w:val="20"/>
        </w:rPr>
        <w:t xml:space="preserve"> </w:t>
      </w:r>
      <w:r w:rsidRPr="003948BA">
        <w:rPr>
          <w:sz w:val="20"/>
        </w:rPr>
        <w:t>Regulations.</w:t>
      </w:r>
    </w:p>
    <w:p w:rsidR="005E5B48" w:rsidRPr="003948BA" w:rsidRDefault="005E5B48">
      <w:pPr>
        <w:pStyle w:val="BodyText"/>
        <w:spacing w:before="9"/>
      </w:pPr>
    </w:p>
    <w:p w:rsidR="005E5B48" w:rsidRPr="003948BA" w:rsidRDefault="00814043" w:rsidP="00A002A6">
      <w:pPr>
        <w:pStyle w:val="ListParagraph"/>
        <w:numPr>
          <w:ilvl w:val="0"/>
          <w:numId w:val="28"/>
        </w:numPr>
        <w:tabs>
          <w:tab w:val="left" w:pos="2001"/>
        </w:tabs>
        <w:ind w:right="1007" w:hanging="379"/>
        <w:jc w:val="both"/>
        <w:rPr>
          <w:sz w:val="20"/>
        </w:rPr>
      </w:pPr>
      <w:r w:rsidRPr="003948BA">
        <w:rPr>
          <w:sz w:val="20"/>
        </w:rPr>
        <w:lastRenderedPageBreak/>
        <w:t>The Auditors shall prepare a written report to the Unit Holders on the accounts and books of accounts of the Trust and the balance sheet, profit and loss account, cash flow statement and statement of movement in Unit Holders‟ Funds and on every other document forming part of the balance sheet and profit and loss account, including notes, statements or schedules appended</w:t>
      </w:r>
      <w:r w:rsidRPr="003948BA">
        <w:rPr>
          <w:spacing w:val="-18"/>
          <w:sz w:val="20"/>
        </w:rPr>
        <w:t xml:space="preserve"> </w:t>
      </w:r>
      <w:r w:rsidRPr="003948BA">
        <w:rPr>
          <w:sz w:val="20"/>
        </w:rPr>
        <w:t>thereto.</w:t>
      </w:r>
    </w:p>
    <w:p w:rsidR="005E5B48" w:rsidRPr="003948BA" w:rsidRDefault="005E5B48">
      <w:pPr>
        <w:pStyle w:val="BodyText"/>
        <w:rPr>
          <w:sz w:val="21"/>
        </w:rPr>
      </w:pPr>
    </w:p>
    <w:p w:rsidR="005E5B48" w:rsidRPr="003948BA" w:rsidRDefault="00814043" w:rsidP="00A002A6">
      <w:pPr>
        <w:pStyle w:val="ListParagraph"/>
        <w:numPr>
          <w:ilvl w:val="0"/>
          <w:numId w:val="28"/>
        </w:numPr>
        <w:tabs>
          <w:tab w:val="left" w:pos="2001"/>
        </w:tabs>
        <w:spacing w:before="1"/>
        <w:ind w:hanging="336"/>
        <w:jc w:val="left"/>
        <w:rPr>
          <w:sz w:val="20"/>
        </w:rPr>
      </w:pPr>
      <w:r w:rsidRPr="003948BA">
        <w:rPr>
          <w:sz w:val="20"/>
        </w:rPr>
        <w:t>The contents of the Auditors report shall be as mentioned in the</w:t>
      </w:r>
      <w:r w:rsidRPr="003948BA">
        <w:rPr>
          <w:spacing w:val="-22"/>
          <w:sz w:val="20"/>
        </w:rPr>
        <w:t xml:space="preserve"> </w:t>
      </w:r>
      <w:r w:rsidRPr="003948BA">
        <w:rPr>
          <w:sz w:val="20"/>
        </w:rPr>
        <w:t>Regulations.</w:t>
      </w:r>
    </w:p>
    <w:p w:rsidR="005E5B48" w:rsidRPr="003948BA" w:rsidRDefault="005E5B48">
      <w:pPr>
        <w:pStyle w:val="BodyText"/>
        <w:rPr>
          <w:sz w:val="22"/>
        </w:rPr>
      </w:pPr>
    </w:p>
    <w:p w:rsidR="005E5B48" w:rsidRPr="003948BA" w:rsidRDefault="00814043" w:rsidP="00A002A6">
      <w:pPr>
        <w:pStyle w:val="Heading5"/>
        <w:numPr>
          <w:ilvl w:val="1"/>
          <w:numId w:val="30"/>
        </w:numPr>
        <w:tabs>
          <w:tab w:val="left" w:pos="1821"/>
        </w:tabs>
        <w:spacing w:before="172"/>
        <w:ind w:left="1820" w:hanging="540"/>
        <w:jc w:val="left"/>
      </w:pPr>
      <w:bookmarkStart w:id="46" w:name="_bookmark36"/>
      <w:bookmarkEnd w:id="46"/>
      <w:r w:rsidRPr="003948BA">
        <w:t>Legal</w:t>
      </w:r>
      <w:r w:rsidRPr="003948BA">
        <w:rPr>
          <w:spacing w:val="-4"/>
        </w:rPr>
        <w:t xml:space="preserve"> </w:t>
      </w:r>
      <w:r w:rsidRPr="003948BA">
        <w:t>Advisors</w:t>
      </w:r>
    </w:p>
    <w:p w:rsidR="00644C51" w:rsidRDefault="00644C51">
      <w:pPr>
        <w:pStyle w:val="BodyText"/>
        <w:spacing w:before="65"/>
        <w:ind w:left="1820"/>
        <w:rPr>
          <w:b/>
        </w:rPr>
      </w:pPr>
    </w:p>
    <w:p w:rsidR="005E5B48" w:rsidRPr="00644C51" w:rsidRDefault="00207F45">
      <w:pPr>
        <w:pStyle w:val="BodyText"/>
        <w:spacing w:before="65"/>
        <w:ind w:left="1820"/>
        <w:rPr>
          <w:b/>
        </w:rPr>
      </w:pPr>
      <w:r w:rsidRPr="00644C51">
        <w:rPr>
          <w:b/>
        </w:rPr>
        <w:t>Akhund Forbes Hadi</w:t>
      </w:r>
      <w:r w:rsidR="00814043" w:rsidRPr="00644C51">
        <w:rPr>
          <w:b/>
        </w:rPr>
        <w:t>.</w:t>
      </w:r>
    </w:p>
    <w:p w:rsidR="005E5B48" w:rsidRPr="003948BA" w:rsidRDefault="00207F45" w:rsidP="002826E9">
      <w:pPr>
        <w:pStyle w:val="BodyText"/>
        <w:spacing w:before="1" w:line="319" w:lineRule="auto"/>
        <w:ind w:left="1820" w:right="3658"/>
      </w:pPr>
      <w:r w:rsidRPr="003948BA">
        <w:rPr>
          <w:color w:val="222222"/>
          <w:shd w:val="clear" w:color="auto" w:fill="FFFFFF"/>
        </w:rPr>
        <w:t>D-21 26th Street, Karachi 75500</w:t>
      </w:r>
      <w:r w:rsidR="00814043" w:rsidRPr="003948BA">
        <w:t>, Pakistan</w:t>
      </w:r>
    </w:p>
    <w:p w:rsidR="005E5B48" w:rsidRPr="00F96FC9" w:rsidRDefault="00814043" w:rsidP="00A002A6">
      <w:pPr>
        <w:pStyle w:val="Heading5"/>
        <w:numPr>
          <w:ilvl w:val="1"/>
          <w:numId w:val="30"/>
        </w:numPr>
        <w:tabs>
          <w:tab w:val="left" w:pos="2000"/>
          <w:tab w:val="left" w:pos="2001"/>
        </w:tabs>
        <w:spacing w:before="93"/>
        <w:ind w:left="2000" w:hanging="720"/>
        <w:jc w:val="left"/>
      </w:pPr>
      <w:bookmarkStart w:id="47" w:name="_bookmark37"/>
      <w:bookmarkEnd w:id="47"/>
      <w:r w:rsidRPr="00F96FC9">
        <w:t>Bankers</w:t>
      </w:r>
    </w:p>
    <w:p w:rsidR="005E5B48" w:rsidRPr="003948BA" w:rsidRDefault="005E5B48">
      <w:pPr>
        <w:pStyle w:val="BodyText"/>
        <w:spacing w:before="10"/>
        <w:rPr>
          <w:b/>
          <w:sz w:val="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449"/>
      </w:tblGrid>
      <w:tr w:rsidR="00AA13F5" w:rsidRPr="003948BA" w:rsidTr="00AA13F5">
        <w:trPr>
          <w:trHeight w:val="373"/>
          <w:jc w:val="center"/>
        </w:trPr>
        <w:tc>
          <w:tcPr>
            <w:tcW w:w="0" w:type="auto"/>
            <w:shd w:val="clear" w:color="auto" w:fill="4F81BD"/>
          </w:tcPr>
          <w:p w:rsidR="00AA13F5" w:rsidRPr="003948BA" w:rsidRDefault="00AA13F5" w:rsidP="00F62539">
            <w:pPr>
              <w:tabs>
                <w:tab w:val="num" w:pos="900"/>
              </w:tabs>
              <w:adjustRightInd w:val="0"/>
              <w:ind w:right="504"/>
              <w:jc w:val="center"/>
              <w:rPr>
                <w:b/>
                <w:iCs/>
                <w:color w:val="FFFFFF"/>
                <w:sz w:val="20"/>
                <w:szCs w:val="20"/>
              </w:rPr>
            </w:pPr>
            <w:r w:rsidRPr="003948BA">
              <w:rPr>
                <w:b/>
                <w:iCs/>
                <w:color w:val="FFFFFF"/>
                <w:sz w:val="20"/>
                <w:szCs w:val="20"/>
              </w:rPr>
              <w:t>S.NO</w:t>
            </w:r>
          </w:p>
        </w:tc>
        <w:tc>
          <w:tcPr>
            <w:tcW w:w="0" w:type="auto"/>
            <w:shd w:val="clear" w:color="auto" w:fill="4F81BD"/>
            <w:vAlign w:val="center"/>
          </w:tcPr>
          <w:p w:rsidR="00AA13F5" w:rsidRPr="003948BA" w:rsidRDefault="00AA13F5" w:rsidP="00F62539">
            <w:pPr>
              <w:tabs>
                <w:tab w:val="num" w:pos="900"/>
              </w:tabs>
              <w:adjustRightInd w:val="0"/>
              <w:ind w:right="504"/>
              <w:jc w:val="center"/>
              <w:rPr>
                <w:b/>
                <w:iCs/>
                <w:color w:val="FFFFFF"/>
                <w:sz w:val="20"/>
                <w:szCs w:val="20"/>
              </w:rPr>
            </w:pPr>
            <w:r w:rsidRPr="003948BA">
              <w:rPr>
                <w:b/>
                <w:iCs/>
                <w:color w:val="FFFFFF"/>
                <w:sz w:val="20"/>
                <w:szCs w:val="20"/>
              </w:rPr>
              <w:t>List of Bankers</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National Bank of Pakistan</w:t>
            </w:r>
          </w:p>
        </w:tc>
      </w:tr>
      <w:tr w:rsidR="00AA13F5" w:rsidRPr="003948BA" w:rsidTr="00AA13F5">
        <w:trPr>
          <w:jc w:val="center"/>
        </w:trPr>
        <w:tc>
          <w:tcPr>
            <w:tcW w:w="0" w:type="auto"/>
          </w:tcPr>
          <w:p w:rsidR="00AA13F5" w:rsidRPr="003948BA" w:rsidRDefault="00173787" w:rsidP="00F62539">
            <w:pPr>
              <w:tabs>
                <w:tab w:val="num" w:pos="900"/>
              </w:tabs>
              <w:adjustRightInd w:val="0"/>
              <w:ind w:right="504"/>
              <w:jc w:val="center"/>
              <w:rPr>
                <w:color w:val="000000"/>
                <w:sz w:val="19"/>
                <w:szCs w:val="19"/>
              </w:rPr>
            </w:pPr>
            <w:r>
              <w:rPr>
                <w:color w:val="000000"/>
                <w:sz w:val="19"/>
                <w:szCs w:val="19"/>
              </w:rPr>
              <w:t>2</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The Bank of Punjab</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4</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Allied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5</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Askari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6</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Bank Alfalah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7</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Bank Al-Habib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8</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Faysal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9</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Habib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10</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Habib Metropolitan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11</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JS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12</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MCB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13</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Samba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14</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proofErr w:type="spellStart"/>
            <w:r w:rsidRPr="003948BA">
              <w:rPr>
                <w:color w:val="000000"/>
                <w:sz w:val="19"/>
                <w:szCs w:val="19"/>
              </w:rPr>
              <w:t>Soneri</w:t>
            </w:r>
            <w:proofErr w:type="spellEnd"/>
            <w:r w:rsidRPr="003948BA">
              <w:rPr>
                <w:color w:val="000000"/>
                <w:sz w:val="19"/>
                <w:szCs w:val="19"/>
              </w:rPr>
              <w:t xml:space="preserve"> Bank Limited</w:t>
            </w:r>
          </w:p>
        </w:tc>
      </w:tr>
      <w:tr w:rsidR="00AA13F5" w:rsidRPr="003948BA" w:rsidTr="00AA13F5">
        <w:trPr>
          <w:jc w:val="center"/>
        </w:trPr>
        <w:tc>
          <w:tcPr>
            <w:tcW w:w="0" w:type="auto"/>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15</w:t>
            </w:r>
          </w:p>
        </w:tc>
        <w:tc>
          <w:tcPr>
            <w:tcW w:w="0" w:type="auto"/>
            <w:shd w:val="clear" w:color="auto" w:fill="auto"/>
            <w:vAlign w:val="center"/>
          </w:tcPr>
          <w:p w:rsidR="00AA13F5" w:rsidRPr="003948BA" w:rsidRDefault="00AA13F5" w:rsidP="00F62539">
            <w:pPr>
              <w:tabs>
                <w:tab w:val="num" w:pos="900"/>
              </w:tabs>
              <w:adjustRightInd w:val="0"/>
              <w:ind w:right="504"/>
              <w:jc w:val="center"/>
              <w:rPr>
                <w:iCs/>
                <w:color w:val="000000"/>
                <w:sz w:val="20"/>
                <w:szCs w:val="20"/>
              </w:rPr>
            </w:pPr>
            <w:r w:rsidRPr="003948BA">
              <w:rPr>
                <w:color w:val="000000"/>
                <w:sz w:val="19"/>
                <w:szCs w:val="19"/>
              </w:rPr>
              <w:t>Standard Chartered Bank (Pakistan) Limited</w:t>
            </w:r>
          </w:p>
        </w:tc>
      </w:tr>
      <w:tr w:rsidR="00AA13F5" w:rsidRPr="003948BA" w:rsidTr="00AA13F5">
        <w:trPr>
          <w:jc w:val="center"/>
        </w:trPr>
        <w:tc>
          <w:tcPr>
            <w:tcW w:w="0" w:type="auto"/>
            <w:tcBorders>
              <w:top w:val="single" w:sz="4" w:space="0" w:color="auto"/>
              <w:left w:val="single" w:sz="4" w:space="0" w:color="auto"/>
              <w:bottom w:val="single" w:sz="4" w:space="0" w:color="auto"/>
              <w:right w:val="single" w:sz="4" w:space="0" w:color="auto"/>
            </w:tcBorders>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United Bank Limited</w:t>
            </w:r>
          </w:p>
        </w:tc>
      </w:tr>
      <w:tr w:rsidR="00AA13F5"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3F5" w:rsidRPr="003948BA" w:rsidRDefault="00AA13F5" w:rsidP="00F62539">
            <w:pPr>
              <w:tabs>
                <w:tab w:val="num" w:pos="900"/>
              </w:tabs>
              <w:adjustRightInd w:val="0"/>
              <w:ind w:right="504"/>
              <w:jc w:val="center"/>
              <w:rPr>
                <w:color w:val="000000"/>
                <w:sz w:val="19"/>
                <w:szCs w:val="19"/>
              </w:rPr>
            </w:pPr>
            <w:r w:rsidRPr="003948BA">
              <w:rPr>
                <w:color w:val="000000"/>
                <w:sz w:val="19"/>
                <w:szCs w:val="19"/>
              </w:rPr>
              <w:t>Meezan Bank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NIB Bank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 xml:space="preserve">Bank </w:t>
            </w:r>
            <w:proofErr w:type="spellStart"/>
            <w:r w:rsidRPr="003948BA">
              <w:rPr>
                <w:color w:val="000000"/>
                <w:sz w:val="19"/>
                <w:szCs w:val="19"/>
              </w:rPr>
              <w:t>Islami</w:t>
            </w:r>
            <w:proofErr w:type="spellEnd"/>
            <w:r w:rsidRPr="003948BA">
              <w:rPr>
                <w:color w:val="000000"/>
                <w:sz w:val="19"/>
                <w:szCs w:val="19"/>
              </w:rPr>
              <w:t xml:space="preserve"> Pakistan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Dubai Islamic Bank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Burj Bank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The Bank of Khyber</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Al-Baraka Bank Pakistan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First Women Bank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644C51" w:rsidP="00F62539">
            <w:pPr>
              <w:tabs>
                <w:tab w:val="num" w:pos="900"/>
              </w:tabs>
              <w:adjustRightInd w:val="0"/>
              <w:ind w:right="504"/>
              <w:jc w:val="center"/>
              <w:rPr>
                <w:color w:val="000000"/>
                <w:sz w:val="19"/>
                <w:szCs w:val="19"/>
              </w:rPr>
            </w:pPr>
            <w:r>
              <w:rPr>
                <w:color w:val="000000"/>
                <w:sz w:val="19"/>
                <w:szCs w:val="19"/>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Citibank N.A.</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644C51" w:rsidP="00F62539">
            <w:pPr>
              <w:tabs>
                <w:tab w:val="num" w:pos="900"/>
              </w:tabs>
              <w:adjustRightInd w:val="0"/>
              <w:ind w:right="504"/>
              <w:jc w:val="center"/>
              <w:rPr>
                <w:color w:val="000000"/>
                <w:sz w:val="19"/>
                <w:szCs w:val="19"/>
              </w:rPr>
            </w:pPr>
            <w:r>
              <w:rPr>
                <w:color w:val="000000"/>
                <w:sz w:val="19"/>
                <w:szCs w:val="19"/>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r w:rsidRPr="003948BA">
              <w:rPr>
                <w:color w:val="000000"/>
                <w:sz w:val="19"/>
                <w:szCs w:val="19"/>
              </w:rPr>
              <w:t>Tameer Microfinance Bank Limited</w:t>
            </w:r>
          </w:p>
        </w:tc>
      </w:tr>
      <w:tr w:rsidR="000020BF" w:rsidRPr="003948BA" w:rsidTr="00AA13F5">
        <w:trPr>
          <w:trHeight w:val="248"/>
          <w:jc w:val="center"/>
        </w:trPr>
        <w:tc>
          <w:tcPr>
            <w:tcW w:w="0" w:type="auto"/>
            <w:tcBorders>
              <w:top w:val="single" w:sz="4" w:space="0" w:color="auto"/>
              <w:left w:val="single" w:sz="4" w:space="0" w:color="auto"/>
              <w:bottom w:val="single" w:sz="4" w:space="0" w:color="auto"/>
              <w:right w:val="single" w:sz="4" w:space="0" w:color="auto"/>
            </w:tcBorders>
          </w:tcPr>
          <w:p w:rsidR="000020BF" w:rsidRPr="003948BA" w:rsidRDefault="00644C51" w:rsidP="00F62539">
            <w:pPr>
              <w:tabs>
                <w:tab w:val="num" w:pos="900"/>
              </w:tabs>
              <w:adjustRightInd w:val="0"/>
              <w:ind w:right="504"/>
              <w:jc w:val="center"/>
              <w:rPr>
                <w:color w:val="000000"/>
                <w:sz w:val="19"/>
                <w:szCs w:val="19"/>
              </w:rPr>
            </w:pPr>
            <w:r>
              <w:rPr>
                <w:color w:val="000000"/>
                <w:sz w:val="19"/>
                <w:szCs w:val="19"/>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0BF" w:rsidRPr="003948BA" w:rsidRDefault="000020BF" w:rsidP="00F62539">
            <w:pPr>
              <w:tabs>
                <w:tab w:val="num" w:pos="900"/>
              </w:tabs>
              <w:adjustRightInd w:val="0"/>
              <w:ind w:right="504"/>
              <w:jc w:val="center"/>
              <w:rPr>
                <w:color w:val="000000"/>
                <w:sz w:val="19"/>
                <w:szCs w:val="19"/>
              </w:rPr>
            </w:pPr>
            <w:proofErr w:type="spellStart"/>
            <w:r w:rsidRPr="003948BA">
              <w:rPr>
                <w:color w:val="000000"/>
                <w:sz w:val="19"/>
                <w:szCs w:val="19"/>
              </w:rPr>
              <w:t>Finca</w:t>
            </w:r>
            <w:proofErr w:type="spellEnd"/>
            <w:r w:rsidRPr="003948BA">
              <w:rPr>
                <w:color w:val="000000"/>
                <w:sz w:val="19"/>
                <w:szCs w:val="19"/>
              </w:rPr>
              <w:t xml:space="preserve"> Micro Finance Bank</w:t>
            </w:r>
          </w:p>
        </w:tc>
      </w:tr>
    </w:tbl>
    <w:p w:rsidR="005E5B48" w:rsidRPr="003948BA" w:rsidRDefault="005E5B48">
      <w:pPr>
        <w:pStyle w:val="BodyText"/>
        <w:spacing w:before="2"/>
        <w:rPr>
          <w:b/>
        </w:rPr>
      </w:pPr>
    </w:p>
    <w:p w:rsidR="005E5B48" w:rsidRPr="003948BA" w:rsidRDefault="00814043">
      <w:pPr>
        <w:ind w:left="1640" w:right="1912"/>
        <w:rPr>
          <w:i/>
          <w:sz w:val="20"/>
        </w:rPr>
      </w:pPr>
      <w:r w:rsidRPr="003948BA">
        <w:rPr>
          <w:i/>
          <w:sz w:val="20"/>
        </w:rPr>
        <w:t>*List of Bankers to the Fund may change from time to time as per the discretion of the Management Company</w:t>
      </w:r>
    </w:p>
    <w:p w:rsidR="005E5B48" w:rsidRPr="003948BA" w:rsidRDefault="005E5B48">
      <w:pPr>
        <w:pStyle w:val="BodyText"/>
        <w:rPr>
          <w:b/>
          <w:i/>
          <w:sz w:val="22"/>
        </w:rPr>
      </w:pPr>
    </w:p>
    <w:p w:rsidR="005E5B48" w:rsidRPr="003948BA" w:rsidRDefault="005E5B48">
      <w:pPr>
        <w:pStyle w:val="BodyText"/>
        <w:spacing w:before="3"/>
        <w:rPr>
          <w:b/>
          <w:i/>
          <w:sz w:val="27"/>
        </w:rPr>
      </w:pPr>
    </w:p>
    <w:p w:rsidR="005E5B48" w:rsidRPr="003948BA" w:rsidRDefault="00814043">
      <w:pPr>
        <w:tabs>
          <w:tab w:val="left" w:pos="2813"/>
        </w:tabs>
        <w:ind w:left="1731"/>
        <w:rPr>
          <w:b/>
          <w:sz w:val="20"/>
        </w:rPr>
      </w:pPr>
      <w:r w:rsidRPr="003948BA">
        <w:rPr>
          <w:b/>
          <w:sz w:val="20"/>
        </w:rPr>
        <w:t>3.17.1</w:t>
      </w:r>
      <w:r w:rsidRPr="003948BA">
        <w:rPr>
          <w:b/>
          <w:sz w:val="20"/>
        </w:rPr>
        <w:tab/>
        <w:t>Bank</w:t>
      </w:r>
      <w:r w:rsidRPr="003948BA">
        <w:rPr>
          <w:b/>
          <w:spacing w:val="-3"/>
          <w:sz w:val="20"/>
        </w:rPr>
        <w:t xml:space="preserve"> </w:t>
      </w:r>
      <w:r w:rsidRPr="003948BA">
        <w:rPr>
          <w:b/>
          <w:sz w:val="20"/>
        </w:rPr>
        <w:t>Accounts</w:t>
      </w:r>
    </w:p>
    <w:p w:rsidR="005E5B48" w:rsidRPr="003948BA" w:rsidRDefault="005E5B48">
      <w:pPr>
        <w:pStyle w:val="BodyText"/>
        <w:spacing w:before="6"/>
        <w:rPr>
          <w:b/>
          <w:sz w:val="27"/>
        </w:rPr>
      </w:pPr>
    </w:p>
    <w:p w:rsidR="005E5B48" w:rsidRPr="003948BA" w:rsidRDefault="00814043" w:rsidP="00A002A6">
      <w:pPr>
        <w:pStyle w:val="ListParagraph"/>
        <w:numPr>
          <w:ilvl w:val="0"/>
          <w:numId w:val="27"/>
        </w:numPr>
        <w:tabs>
          <w:tab w:val="left" w:pos="1682"/>
        </w:tabs>
        <w:spacing w:before="1"/>
        <w:ind w:right="998"/>
        <w:jc w:val="both"/>
        <w:rPr>
          <w:sz w:val="20"/>
        </w:rPr>
      </w:pPr>
      <w:r w:rsidRPr="003948BA">
        <w:rPr>
          <w:sz w:val="20"/>
        </w:rPr>
        <w:t xml:space="preserve">The Trustee, at the request of the Management Company, shall open Bank Account(s) for the Unit Trust at designated Bank(s) having a minimum rating of </w:t>
      </w:r>
      <w:r w:rsidRPr="003948BA">
        <w:rPr>
          <w:b/>
          <w:spacing w:val="-3"/>
          <w:sz w:val="20"/>
        </w:rPr>
        <w:t>A-</w:t>
      </w:r>
      <w:r w:rsidR="00D811CB" w:rsidRPr="003948BA">
        <w:rPr>
          <w:b/>
          <w:spacing w:val="-3"/>
          <w:sz w:val="20"/>
        </w:rPr>
        <w:t xml:space="preserve"> (A Minus) </w:t>
      </w:r>
      <w:r w:rsidRPr="003948BA">
        <w:rPr>
          <w:sz w:val="20"/>
        </w:rPr>
        <w:t>and above inside or outside Pakistan, subject to the relevant laws, Trust Deed, Rules and Regulations, for collection, investment, redemption or any other use of the Trust</w:t>
      </w:r>
      <w:r w:rsidR="00452737" w:rsidRPr="003948BA">
        <w:rPr>
          <w:sz w:val="20"/>
        </w:rPr>
        <w:t>’</w:t>
      </w:r>
      <w:r w:rsidRPr="003948BA">
        <w:rPr>
          <w:sz w:val="20"/>
        </w:rPr>
        <w:t>s Funds. These Bank Account(s) shall be</w:t>
      </w:r>
      <w:r w:rsidRPr="003948BA">
        <w:rPr>
          <w:spacing w:val="2"/>
          <w:sz w:val="20"/>
        </w:rPr>
        <w:t xml:space="preserve"> </w:t>
      </w:r>
      <w:r w:rsidRPr="003948BA">
        <w:rPr>
          <w:sz w:val="20"/>
        </w:rPr>
        <w:t>titled:</w:t>
      </w:r>
    </w:p>
    <w:p w:rsidR="005E5B48" w:rsidRPr="003948BA" w:rsidRDefault="005E5B48">
      <w:pPr>
        <w:pStyle w:val="BodyText"/>
        <w:spacing w:before="2"/>
        <w:rPr>
          <w:sz w:val="23"/>
        </w:rPr>
      </w:pPr>
    </w:p>
    <w:p w:rsidR="005E5B48" w:rsidRPr="003948BA" w:rsidRDefault="00814043" w:rsidP="00A002A6">
      <w:pPr>
        <w:pStyle w:val="Heading5"/>
        <w:numPr>
          <w:ilvl w:val="1"/>
          <w:numId w:val="27"/>
        </w:numPr>
        <w:tabs>
          <w:tab w:val="left" w:pos="1862"/>
        </w:tabs>
      </w:pPr>
      <w:r w:rsidRPr="003948BA">
        <w:t>“CDC Trustee – Al-Ameen Islamic Financial Planning Fund-</w:t>
      </w:r>
      <w:r w:rsidR="00FB0549">
        <w:t>IV</w:t>
      </w:r>
      <w:r w:rsidRPr="003948BA">
        <w:t>”</w:t>
      </w:r>
    </w:p>
    <w:p w:rsidR="005E5B48" w:rsidRPr="003948BA" w:rsidRDefault="005E5B48">
      <w:pPr>
        <w:pStyle w:val="BodyText"/>
        <w:rPr>
          <w:b/>
        </w:rPr>
      </w:pPr>
    </w:p>
    <w:p w:rsidR="005E5B48" w:rsidRPr="003948BA" w:rsidRDefault="00814043" w:rsidP="00A002A6">
      <w:pPr>
        <w:pStyle w:val="ListParagraph"/>
        <w:numPr>
          <w:ilvl w:val="1"/>
          <w:numId w:val="27"/>
        </w:numPr>
        <w:tabs>
          <w:tab w:val="left" w:pos="1862"/>
        </w:tabs>
        <w:spacing w:before="1" w:line="360" w:lineRule="auto"/>
        <w:ind w:right="1195"/>
        <w:rPr>
          <w:b/>
          <w:sz w:val="20"/>
        </w:rPr>
      </w:pPr>
      <w:r w:rsidRPr="003948BA">
        <w:rPr>
          <w:b/>
          <w:sz w:val="20"/>
        </w:rPr>
        <w:t>“CDC Trustee – Al-Ameen Islamic Financial Planning Fund-</w:t>
      </w:r>
      <w:r w:rsidR="00FB0549">
        <w:rPr>
          <w:b/>
          <w:sz w:val="20"/>
        </w:rPr>
        <w:t>IV</w:t>
      </w:r>
      <w:r w:rsidR="00FB0549" w:rsidRPr="003948BA">
        <w:rPr>
          <w:b/>
          <w:sz w:val="20"/>
        </w:rPr>
        <w:t xml:space="preserve"> </w:t>
      </w:r>
      <w:r w:rsidRPr="003948BA">
        <w:rPr>
          <w:b/>
          <w:sz w:val="20"/>
        </w:rPr>
        <w:t xml:space="preserve">– Al-Ameen Islamic Active </w:t>
      </w:r>
      <w:r w:rsidR="0048563C">
        <w:rPr>
          <w:b/>
          <w:sz w:val="20"/>
        </w:rPr>
        <w:t>Allocation</w:t>
      </w:r>
      <w:r w:rsidR="000020BF" w:rsidRPr="003948BA">
        <w:rPr>
          <w:b/>
          <w:sz w:val="20"/>
        </w:rPr>
        <w:t xml:space="preserve"> </w:t>
      </w:r>
      <w:r w:rsidRPr="003948BA">
        <w:rPr>
          <w:b/>
          <w:sz w:val="20"/>
        </w:rPr>
        <w:t>Plan</w:t>
      </w:r>
      <w:r w:rsidRPr="003948BA">
        <w:rPr>
          <w:b/>
          <w:spacing w:val="7"/>
          <w:sz w:val="20"/>
        </w:rPr>
        <w:t xml:space="preserve"> </w:t>
      </w:r>
      <w:r w:rsidR="00207F45" w:rsidRPr="003948BA">
        <w:rPr>
          <w:b/>
          <w:sz w:val="20"/>
        </w:rPr>
        <w:t>–</w:t>
      </w:r>
      <w:r w:rsidR="0048563C">
        <w:rPr>
          <w:b/>
          <w:sz w:val="20"/>
        </w:rPr>
        <w:t>XI</w:t>
      </w:r>
      <w:r w:rsidR="00FB0549">
        <w:rPr>
          <w:b/>
          <w:sz w:val="20"/>
        </w:rPr>
        <w:t>V</w:t>
      </w:r>
      <w:r w:rsidRPr="003948BA">
        <w:rPr>
          <w:b/>
          <w:sz w:val="20"/>
        </w:rPr>
        <w:t>”</w:t>
      </w:r>
    </w:p>
    <w:p w:rsidR="005E5B48" w:rsidRPr="003948BA" w:rsidRDefault="005E5B48">
      <w:pPr>
        <w:pStyle w:val="BodyText"/>
        <w:spacing w:before="5"/>
        <w:rPr>
          <w:b/>
          <w:sz w:val="31"/>
        </w:rPr>
      </w:pPr>
    </w:p>
    <w:p w:rsidR="005E5B48" w:rsidRPr="003948BA" w:rsidRDefault="00814043" w:rsidP="00A002A6">
      <w:pPr>
        <w:pStyle w:val="ListParagraph"/>
        <w:numPr>
          <w:ilvl w:val="0"/>
          <w:numId w:val="27"/>
        </w:numPr>
        <w:tabs>
          <w:tab w:val="left" w:pos="2001"/>
        </w:tabs>
        <w:ind w:left="2000" w:right="1021" w:hanging="360"/>
        <w:jc w:val="both"/>
        <w:rPr>
          <w:sz w:val="20"/>
        </w:rPr>
      </w:pPr>
      <w:r w:rsidRPr="003948BA">
        <w:rPr>
          <w:sz w:val="20"/>
        </w:rPr>
        <w:t>The Management Company may also require the Trustee to open Bank Account(s) as Distribution Account(s) for dividend distribution out of the Unit Trust. Notwithstanding anything in the Deed, the beneficial ownership of the balances in the Accounts shall vest in the Unit</w:t>
      </w:r>
      <w:r w:rsidRPr="003948BA">
        <w:rPr>
          <w:spacing w:val="-9"/>
          <w:sz w:val="20"/>
        </w:rPr>
        <w:t xml:space="preserve"> </w:t>
      </w:r>
      <w:r w:rsidRPr="003948BA">
        <w:rPr>
          <w:sz w:val="20"/>
        </w:rPr>
        <w:t>Holders.</w:t>
      </w:r>
    </w:p>
    <w:p w:rsidR="005E5B48" w:rsidRPr="003948BA" w:rsidRDefault="005E5B48">
      <w:pPr>
        <w:pStyle w:val="BodyText"/>
      </w:pPr>
    </w:p>
    <w:p w:rsidR="005E5B48" w:rsidRPr="003948BA" w:rsidRDefault="00814043" w:rsidP="00A002A6">
      <w:pPr>
        <w:pStyle w:val="ListParagraph"/>
        <w:numPr>
          <w:ilvl w:val="0"/>
          <w:numId w:val="27"/>
        </w:numPr>
        <w:tabs>
          <w:tab w:val="left" w:pos="2001"/>
        </w:tabs>
        <w:ind w:left="2000" w:right="1011" w:hanging="360"/>
        <w:jc w:val="both"/>
        <w:rPr>
          <w:sz w:val="20"/>
        </w:rPr>
      </w:pPr>
      <w:r w:rsidRPr="003948BA">
        <w:rPr>
          <w:sz w:val="20"/>
        </w:rPr>
        <w:t>All bank charges for opening and maintaining Bank Accounts for the Trust shall be charged to the Fund by equally dividing it amongst the existing Allocation Plans. All bank charges for opening and maintain Bank Accounts for an Allocation plan under the Trust shall be charged to the pertinent Allocation</w:t>
      </w:r>
      <w:r w:rsidRPr="003948BA">
        <w:rPr>
          <w:spacing w:val="-15"/>
          <w:sz w:val="20"/>
        </w:rPr>
        <w:t xml:space="preserve"> </w:t>
      </w:r>
      <w:r w:rsidRPr="003948BA">
        <w:rPr>
          <w:sz w:val="20"/>
        </w:rPr>
        <w:t>Plan.</w:t>
      </w:r>
    </w:p>
    <w:p w:rsidR="005E5B48" w:rsidRPr="003948BA" w:rsidRDefault="005E5B48">
      <w:pPr>
        <w:pStyle w:val="BodyText"/>
        <w:spacing w:before="2"/>
      </w:pPr>
    </w:p>
    <w:p w:rsidR="005E5B48" w:rsidRPr="003948BA" w:rsidRDefault="00814043" w:rsidP="00A002A6">
      <w:pPr>
        <w:pStyle w:val="ListParagraph"/>
        <w:numPr>
          <w:ilvl w:val="0"/>
          <w:numId w:val="27"/>
        </w:numPr>
        <w:tabs>
          <w:tab w:val="left" w:pos="2001"/>
        </w:tabs>
        <w:ind w:left="2000" w:right="1015" w:hanging="360"/>
        <w:jc w:val="both"/>
        <w:rPr>
          <w:sz w:val="20"/>
        </w:rPr>
      </w:pPr>
      <w:r w:rsidRPr="003948BA">
        <w:rPr>
          <w:sz w:val="20"/>
        </w:rPr>
        <w:t>All income, profit etc. earned in the Distribution Account(s), including those accruing  on unclaimed dividends, shall form part of the Trust Property for the benefit of the</w:t>
      </w:r>
      <w:r w:rsidRPr="003948BA">
        <w:rPr>
          <w:spacing w:val="40"/>
          <w:sz w:val="20"/>
        </w:rPr>
        <w:t xml:space="preserve"> </w:t>
      </w:r>
      <w:r w:rsidRPr="003948BA">
        <w:rPr>
          <w:sz w:val="20"/>
        </w:rPr>
        <w:t>Unit</w:t>
      </w:r>
    </w:p>
    <w:p w:rsidR="005E5B48" w:rsidRPr="003948BA" w:rsidRDefault="00814043">
      <w:pPr>
        <w:pStyle w:val="BodyText"/>
        <w:ind w:left="2000" w:right="1013"/>
        <w:jc w:val="both"/>
      </w:pPr>
      <w:r w:rsidRPr="003948BA">
        <w:t>Holders and shall be transferred periodically from the Distribution Account(s) to the main Bank Account of the Trust.</w:t>
      </w:r>
    </w:p>
    <w:p w:rsidR="005E5B48" w:rsidRPr="003948BA" w:rsidRDefault="005E5B48">
      <w:pPr>
        <w:pStyle w:val="BodyText"/>
        <w:spacing w:before="8"/>
        <w:rPr>
          <w:sz w:val="25"/>
        </w:rPr>
      </w:pPr>
    </w:p>
    <w:p w:rsidR="005E5B48" w:rsidRPr="003948BA" w:rsidRDefault="00814043" w:rsidP="00A002A6">
      <w:pPr>
        <w:pStyle w:val="ListParagraph"/>
        <w:numPr>
          <w:ilvl w:val="0"/>
          <w:numId w:val="27"/>
        </w:numPr>
        <w:tabs>
          <w:tab w:val="left" w:pos="2001"/>
        </w:tabs>
        <w:spacing w:before="1"/>
        <w:ind w:left="2000" w:right="1007" w:hanging="360"/>
        <w:jc w:val="both"/>
      </w:pPr>
      <w:r w:rsidRPr="003948BA">
        <w:rPr>
          <w:sz w:val="20"/>
        </w:rPr>
        <w:t xml:space="preserve">The amounts received from the Investors before the Initial </w:t>
      </w:r>
      <w:r w:rsidR="000355B0">
        <w:rPr>
          <w:sz w:val="20"/>
        </w:rPr>
        <w:t xml:space="preserve">Offering </w:t>
      </w:r>
      <w:r w:rsidRPr="003948BA">
        <w:rPr>
          <w:sz w:val="20"/>
        </w:rPr>
        <w:t xml:space="preserve">Period shall be deposited in a Bank Account of the Fund and any income, profit etc. earned and/or accrued on the </w:t>
      </w:r>
      <w:r w:rsidRPr="00C569CC">
        <w:rPr>
          <w:sz w:val="20"/>
        </w:rPr>
        <w:t xml:space="preserve">investments of that amount up to and including the day before the opening of Initial </w:t>
      </w:r>
      <w:r w:rsidR="000355B0">
        <w:rPr>
          <w:sz w:val="20"/>
        </w:rPr>
        <w:t xml:space="preserve">Offering </w:t>
      </w:r>
      <w:r w:rsidRPr="00C569CC">
        <w:rPr>
          <w:sz w:val="20"/>
        </w:rPr>
        <w:t xml:space="preserve">Period shall not form part of the Trust Property and shall be paid by the Management Company or the Trustee to those Investors participated before the Offering Period, either in cash or in additional Units as selected by those Investors, in proportion of their investments at the Management </w:t>
      </w:r>
      <w:r w:rsidR="00207F45" w:rsidRPr="00C569CC">
        <w:rPr>
          <w:sz w:val="20"/>
        </w:rPr>
        <w:t>Company’s</w:t>
      </w:r>
      <w:r w:rsidRPr="00C569CC">
        <w:rPr>
          <w:sz w:val="20"/>
        </w:rPr>
        <w:t xml:space="preserve"> discretion.</w:t>
      </w:r>
    </w:p>
    <w:p w:rsidR="005E5B48" w:rsidRPr="003948BA" w:rsidRDefault="005E5B48">
      <w:pPr>
        <w:pStyle w:val="BodyText"/>
        <w:spacing w:before="2"/>
      </w:pPr>
    </w:p>
    <w:p w:rsidR="005E5B48" w:rsidRPr="003948BA" w:rsidRDefault="00814043" w:rsidP="00A002A6">
      <w:pPr>
        <w:pStyle w:val="ListParagraph"/>
        <w:numPr>
          <w:ilvl w:val="0"/>
          <w:numId w:val="27"/>
        </w:numPr>
        <w:tabs>
          <w:tab w:val="left" w:pos="2001"/>
        </w:tabs>
        <w:ind w:left="2000" w:right="1004" w:hanging="360"/>
        <w:jc w:val="both"/>
        <w:rPr>
          <w:sz w:val="20"/>
        </w:rPr>
      </w:pPr>
      <w:r w:rsidRPr="003948BA">
        <w:rPr>
          <w:sz w:val="20"/>
        </w:rPr>
        <w:t xml:space="preserve">The Trustee shall, if requested by the Management Company at its discretion also open a separate Account designated by the Management Company. These account(s) may be used for the purpose of collection of sale proceeds, where collections received on account of subscription of Units by investors of various unit trusts and the administrative plans that are managed by the Management Company shall be held prior to their being allocated and transferred to pertinent unit trust(s). Such account(s) may also be used for temporary parking for the purpose of redemption. Provided however, in relation to the other unit trusts managed by the Management Company mentioned above, there are similar provisions in the trust deeds of such Funds and have Trustee as common between them. Such accounts shall be in the title of </w:t>
      </w:r>
      <w:r w:rsidRPr="003948BA">
        <w:rPr>
          <w:b/>
          <w:i/>
          <w:sz w:val="20"/>
        </w:rPr>
        <w:t>CDC Trustee – Al–Ameen</w:t>
      </w:r>
      <w:r w:rsidRPr="003948BA">
        <w:rPr>
          <w:b/>
          <w:i/>
          <w:spacing w:val="-11"/>
          <w:sz w:val="20"/>
        </w:rPr>
        <w:t xml:space="preserve"> </w:t>
      </w:r>
      <w:r w:rsidRPr="003948BA">
        <w:rPr>
          <w:b/>
          <w:i/>
          <w:sz w:val="20"/>
        </w:rPr>
        <w:t>Funds</w:t>
      </w:r>
      <w:r w:rsidRPr="003948BA">
        <w:rPr>
          <w:sz w:val="20"/>
        </w:rPr>
        <w:t>.</w:t>
      </w:r>
    </w:p>
    <w:p w:rsidR="005E5B48" w:rsidRPr="003948BA" w:rsidRDefault="005E5B48">
      <w:pPr>
        <w:pStyle w:val="BodyText"/>
        <w:spacing w:before="4"/>
        <w:rPr>
          <w:sz w:val="32"/>
        </w:rPr>
      </w:pPr>
    </w:p>
    <w:p w:rsidR="005E5B48" w:rsidRPr="003948BA" w:rsidRDefault="00814043" w:rsidP="00A002A6">
      <w:pPr>
        <w:pStyle w:val="Heading5"/>
        <w:numPr>
          <w:ilvl w:val="1"/>
          <w:numId w:val="30"/>
        </w:numPr>
        <w:tabs>
          <w:tab w:val="left" w:pos="2000"/>
          <w:tab w:val="left" w:pos="2001"/>
        </w:tabs>
        <w:spacing w:before="1"/>
        <w:ind w:left="2000" w:hanging="720"/>
        <w:jc w:val="left"/>
      </w:pPr>
      <w:bookmarkStart w:id="48" w:name="_bookmark38"/>
      <w:bookmarkEnd w:id="48"/>
      <w:r w:rsidRPr="003948BA">
        <w:t>Rating of the</w:t>
      </w:r>
      <w:r w:rsidRPr="003948BA">
        <w:rPr>
          <w:spacing w:val="-6"/>
        </w:rPr>
        <w:t xml:space="preserve"> </w:t>
      </w:r>
      <w:r w:rsidRPr="003948BA">
        <w:t>Scheme</w:t>
      </w:r>
    </w:p>
    <w:p w:rsidR="005E5B48" w:rsidRPr="003948BA" w:rsidRDefault="00814043">
      <w:pPr>
        <w:pStyle w:val="BodyText"/>
        <w:spacing w:before="60"/>
        <w:ind w:left="2000" w:right="1009"/>
        <w:jc w:val="both"/>
      </w:pPr>
      <w:r w:rsidRPr="003948BA">
        <w:rPr>
          <w:color w:val="211F1F"/>
        </w:rPr>
        <w:t xml:space="preserve">The Management Company will be obliged to obtain a rating of the Scheme, once the Scheme becomes eligible for rating as per the criteria of the rating agency, and such rating shall be updated at least once every Financial Year and also published in the annual and quarterly reports of the Scheme as well as on the Management  </w:t>
      </w:r>
      <w:r w:rsidR="00207F45" w:rsidRPr="003948BA">
        <w:rPr>
          <w:color w:val="211F1F"/>
        </w:rPr>
        <w:t>Company’s</w:t>
      </w:r>
      <w:r w:rsidRPr="003948BA">
        <w:rPr>
          <w:color w:val="211F1F"/>
          <w:spacing w:val="-3"/>
        </w:rPr>
        <w:t xml:space="preserve"> </w:t>
      </w:r>
      <w:r w:rsidRPr="003948BA">
        <w:rPr>
          <w:color w:val="211F1F"/>
        </w:rPr>
        <w:t>website.</w:t>
      </w:r>
    </w:p>
    <w:p w:rsidR="00C569CC" w:rsidRPr="003948BA" w:rsidRDefault="00C569CC">
      <w:pPr>
        <w:pStyle w:val="BodyText"/>
        <w:spacing w:before="2"/>
        <w:rPr>
          <w:sz w:val="32"/>
        </w:rPr>
      </w:pPr>
    </w:p>
    <w:p w:rsidR="005E5B48" w:rsidRPr="003948BA" w:rsidRDefault="00814043" w:rsidP="00A002A6">
      <w:pPr>
        <w:pStyle w:val="Heading5"/>
        <w:numPr>
          <w:ilvl w:val="1"/>
          <w:numId w:val="30"/>
        </w:numPr>
        <w:tabs>
          <w:tab w:val="left" w:pos="2000"/>
          <w:tab w:val="left" w:pos="2001"/>
        </w:tabs>
        <w:ind w:left="2000" w:hanging="720"/>
        <w:jc w:val="left"/>
      </w:pPr>
      <w:bookmarkStart w:id="49" w:name="_bookmark39"/>
      <w:bookmarkEnd w:id="49"/>
      <w:r w:rsidRPr="003948BA">
        <w:rPr>
          <w:color w:val="211F1F"/>
        </w:rPr>
        <w:t>Minimum Fund</w:t>
      </w:r>
      <w:r w:rsidRPr="003948BA">
        <w:rPr>
          <w:color w:val="211F1F"/>
          <w:spacing w:val="-9"/>
        </w:rPr>
        <w:t xml:space="preserve"> </w:t>
      </w:r>
      <w:r w:rsidRPr="003948BA">
        <w:rPr>
          <w:color w:val="211F1F"/>
        </w:rPr>
        <w:t>Size</w:t>
      </w:r>
    </w:p>
    <w:p w:rsidR="005E5B48" w:rsidRPr="003948BA" w:rsidRDefault="00814043">
      <w:pPr>
        <w:pStyle w:val="BodyText"/>
        <w:spacing w:before="65"/>
        <w:ind w:left="2000" w:right="1011"/>
        <w:jc w:val="both"/>
      </w:pPr>
      <w:r w:rsidRPr="003948BA">
        <w:rPr>
          <w:color w:val="211F1F"/>
        </w:rPr>
        <w:t>The minimum size of an open end scheme shall be one hundred million rupees at all times during the life of the scheme. In case of after the initial public offering or subsequently at any time if the size of open end scheme falls below that minimum size of one hundred million rupees, the asset management company shall ensure compliance with the minimum fund size within three (3) months of its breach and if the fund size remains below the minimum fund size limit for consecutive ninety (90) days the asset management company shall immediately intimate the grounds to the commission upon which it believes that the scheme is still commercially viable and its objective can still be achieved.</w:t>
      </w:r>
    </w:p>
    <w:p w:rsidR="005E5B48" w:rsidRPr="003948BA" w:rsidRDefault="005E5B48">
      <w:pPr>
        <w:pStyle w:val="BodyText"/>
        <w:spacing w:before="1"/>
        <w:rPr>
          <w:sz w:val="19"/>
        </w:rPr>
      </w:pPr>
    </w:p>
    <w:p w:rsidR="005E5B48" w:rsidRPr="003948BA" w:rsidRDefault="00814043" w:rsidP="00A002A6">
      <w:pPr>
        <w:pStyle w:val="Heading5"/>
        <w:numPr>
          <w:ilvl w:val="0"/>
          <w:numId w:val="39"/>
        </w:numPr>
        <w:tabs>
          <w:tab w:val="left" w:pos="1712"/>
          <w:tab w:val="left" w:pos="1713"/>
        </w:tabs>
        <w:jc w:val="left"/>
      </w:pPr>
      <w:bookmarkStart w:id="50" w:name="_bookmark40"/>
      <w:bookmarkEnd w:id="50"/>
      <w:r w:rsidRPr="003948BA">
        <w:t>CHARACTERISTICS OF</w:t>
      </w:r>
      <w:r w:rsidRPr="003948BA">
        <w:rPr>
          <w:spacing w:val="-5"/>
        </w:rPr>
        <w:t xml:space="preserve"> </w:t>
      </w:r>
      <w:r w:rsidRPr="003948BA">
        <w:t>UNITS</w:t>
      </w:r>
    </w:p>
    <w:p w:rsidR="005E5B48" w:rsidRPr="003948BA" w:rsidRDefault="00814043" w:rsidP="00A002A6">
      <w:pPr>
        <w:pStyle w:val="ListParagraph"/>
        <w:numPr>
          <w:ilvl w:val="1"/>
          <w:numId w:val="39"/>
        </w:numPr>
        <w:tabs>
          <w:tab w:val="left" w:pos="1772"/>
          <w:tab w:val="left" w:pos="1773"/>
        </w:tabs>
        <w:spacing w:before="120"/>
        <w:ind w:left="1772" w:hanging="631"/>
        <w:rPr>
          <w:b/>
          <w:sz w:val="20"/>
        </w:rPr>
      </w:pPr>
      <w:bookmarkStart w:id="51" w:name="_bookmark41"/>
      <w:bookmarkEnd w:id="51"/>
      <w:r w:rsidRPr="003948BA">
        <w:rPr>
          <w:b/>
          <w:sz w:val="20"/>
        </w:rPr>
        <w:t>Units</w:t>
      </w:r>
    </w:p>
    <w:p w:rsidR="005E5B48" w:rsidRPr="003948BA" w:rsidRDefault="00814043" w:rsidP="00A002A6">
      <w:pPr>
        <w:pStyle w:val="ListParagraph"/>
        <w:numPr>
          <w:ilvl w:val="0"/>
          <w:numId w:val="26"/>
        </w:numPr>
        <w:tabs>
          <w:tab w:val="left" w:pos="1773"/>
        </w:tabs>
        <w:spacing w:before="68"/>
        <w:ind w:right="1005" w:hanging="362"/>
        <w:jc w:val="both"/>
        <w:rPr>
          <w:sz w:val="20"/>
        </w:rPr>
      </w:pPr>
      <w:r w:rsidRPr="003948BA">
        <w:rPr>
          <w:sz w:val="20"/>
        </w:rPr>
        <w:t xml:space="preserve">All Units of the Allocation Plans and fractions thereof represent an undivided share in the Allocation Plan and rank </w:t>
      </w:r>
      <w:proofErr w:type="spellStart"/>
      <w:r w:rsidRPr="003948BA">
        <w:rPr>
          <w:sz w:val="20"/>
        </w:rPr>
        <w:t>pari</w:t>
      </w:r>
      <w:proofErr w:type="spellEnd"/>
      <w:r w:rsidRPr="003948BA">
        <w:rPr>
          <w:sz w:val="20"/>
        </w:rPr>
        <w:t xml:space="preserve"> </w:t>
      </w:r>
      <w:proofErr w:type="spellStart"/>
      <w:r w:rsidRPr="003948BA">
        <w:rPr>
          <w:sz w:val="20"/>
        </w:rPr>
        <w:t>passu</w:t>
      </w:r>
      <w:proofErr w:type="spellEnd"/>
      <w:r w:rsidRPr="003948BA">
        <w:rPr>
          <w:sz w:val="20"/>
        </w:rPr>
        <w:t xml:space="preserve"> as to their rights in the net assets, earnings, and the receipt of the dividends and distributions in their respective Allocation Plan. Each Unit </w:t>
      </w:r>
      <w:r w:rsidRPr="003948BA">
        <w:rPr>
          <w:sz w:val="20"/>
        </w:rPr>
        <w:lastRenderedPageBreak/>
        <w:t>Holder has a beneficial interest in the particular Type of Unit of the Allocation Plan, proportionate to the Units held by such Unit Holder under the pertinent Allocation Plan. For the convenience of investors, the Management Company may issue Units with different options for different arrangements as chosen by the investor from time to time, after seeking prior approval of the Commission and amending the Offering</w:t>
      </w:r>
      <w:r w:rsidRPr="003948BA">
        <w:rPr>
          <w:spacing w:val="-16"/>
          <w:sz w:val="20"/>
        </w:rPr>
        <w:t xml:space="preserve"> </w:t>
      </w:r>
      <w:r w:rsidRPr="003948BA">
        <w:rPr>
          <w:sz w:val="20"/>
        </w:rPr>
        <w:t>document.</w:t>
      </w:r>
    </w:p>
    <w:p w:rsidR="005E5B48" w:rsidRPr="003948BA" w:rsidRDefault="005E5B48">
      <w:pPr>
        <w:pStyle w:val="BodyText"/>
        <w:spacing w:before="11"/>
        <w:rPr>
          <w:sz w:val="19"/>
        </w:rPr>
      </w:pPr>
    </w:p>
    <w:p w:rsidR="005E5B48" w:rsidRDefault="00814043" w:rsidP="00A002A6">
      <w:pPr>
        <w:pStyle w:val="ListParagraph"/>
        <w:numPr>
          <w:ilvl w:val="0"/>
          <w:numId w:val="26"/>
        </w:numPr>
        <w:tabs>
          <w:tab w:val="left" w:pos="1773"/>
        </w:tabs>
        <w:ind w:right="1011" w:hanging="362"/>
        <w:jc w:val="both"/>
        <w:rPr>
          <w:sz w:val="20"/>
        </w:rPr>
      </w:pPr>
      <w:r w:rsidRPr="003948BA">
        <w:rPr>
          <w:sz w:val="20"/>
        </w:rPr>
        <w:t>The Management Company shall offer Allocation Plans that shall invest in permissible CIS only, and/or Cash/ Near Cash Instruments (unless otherwise allowed under the Rules, Regulations, and/ or any directives issued or any exemptions granted by the Commission to the Fund and/ or to the Management Company from time to time) in differing percentage</w:t>
      </w:r>
      <w:r w:rsidRPr="003948BA">
        <w:rPr>
          <w:spacing w:val="-23"/>
          <w:sz w:val="20"/>
        </w:rPr>
        <w:t xml:space="preserve"> </w:t>
      </w:r>
      <w:r w:rsidRPr="003948BA">
        <w:rPr>
          <w:sz w:val="20"/>
        </w:rPr>
        <w:t>allocations.</w:t>
      </w:r>
    </w:p>
    <w:p w:rsidR="00C569CC" w:rsidRPr="00C569CC" w:rsidRDefault="00C569CC" w:rsidP="00C569CC">
      <w:pPr>
        <w:pStyle w:val="ListParagraph"/>
        <w:rPr>
          <w:sz w:val="20"/>
        </w:rPr>
      </w:pPr>
    </w:p>
    <w:p w:rsidR="00C569CC" w:rsidRPr="003948BA" w:rsidRDefault="00C569CC" w:rsidP="00C569CC">
      <w:pPr>
        <w:pStyle w:val="ListParagraph"/>
        <w:tabs>
          <w:tab w:val="left" w:pos="1773"/>
        </w:tabs>
        <w:ind w:left="1772" w:right="1011" w:firstLine="0"/>
        <w:jc w:val="both"/>
        <w:rPr>
          <w:sz w:val="20"/>
        </w:rPr>
      </w:pPr>
    </w:p>
    <w:p w:rsidR="005E5B48" w:rsidRPr="003948BA" w:rsidRDefault="00814043" w:rsidP="00A002A6">
      <w:pPr>
        <w:pStyle w:val="Heading5"/>
        <w:numPr>
          <w:ilvl w:val="1"/>
          <w:numId w:val="39"/>
        </w:numPr>
        <w:tabs>
          <w:tab w:val="left" w:pos="2000"/>
          <w:tab w:val="left" w:pos="2001"/>
        </w:tabs>
        <w:spacing w:line="223" w:lineRule="exact"/>
        <w:ind w:left="2000"/>
      </w:pPr>
      <w:bookmarkStart w:id="52" w:name="_bookmark42"/>
      <w:bookmarkEnd w:id="52"/>
      <w:r w:rsidRPr="003948BA">
        <w:t>Classes of</w:t>
      </w:r>
      <w:r w:rsidRPr="003948BA">
        <w:rPr>
          <w:spacing w:val="-8"/>
        </w:rPr>
        <w:t xml:space="preserve"> </w:t>
      </w:r>
      <w:r w:rsidRPr="003948BA">
        <w:t>Units</w:t>
      </w:r>
    </w:p>
    <w:p w:rsidR="005E5B48" w:rsidRPr="003948BA" w:rsidRDefault="00814043">
      <w:pPr>
        <w:pStyle w:val="BodyText"/>
        <w:spacing w:before="127"/>
        <w:ind w:left="2000" w:right="1020"/>
      </w:pPr>
      <w:r w:rsidRPr="003948BA">
        <w:t>The Management Company may issue any of the following classes of Units for each of the Allocation Plans being offered by the Management Company:</w:t>
      </w:r>
    </w:p>
    <w:p w:rsidR="005E5B48" w:rsidRPr="003948BA" w:rsidRDefault="005E5B48">
      <w:pPr>
        <w:pStyle w:val="BodyText"/>
        <w:rPr>
          <w:sz w:val="22"/>
        </w:rPr>
      </w:pPr>
    </w:p>
    <w:p w:rsidR="005E5B48" w:rsidRPr="003948BA" w:rsidRDefault="00C569CC" w:rsidP="00AC705B">
      <w:pPr>
        <w:pStyle w:val="BodyText"/>
        <w:numPr>
          <w:ilvl w:val="0"/>
          <w:numId w:val="52"/>
        </w:numPr>
        <w:spacing w:before="8"/>
        <w:rPr>
          <w:sz w:val="25"/>
        </w:rPr>
      </w:pPr>
      <w:r>
        <w:rPr>
          <w:b/>
          <w:color w:val="000000"/>
        </w:rPr>
        <w:t xml:space="preserve">For </w:t>
      </w:r>
      <w:r w:rsidR="00B7104B" w:rsidRPr="003948BA">
        <w:rPr>
          <w:b/>
          <w:color w:val="000000"/>
        </w:rPr>
        <w:t xml:space="preserve">Al-Ameen Islamic Active </w:t>
      </w:r>
      <w:r w:rsidR="00D662E2">
        <w:rPr>
          <w:b/>
          <w:color w:val="000000"/>
        </w:rPr>
        <w:t>Allocation</w:t>
      </w:r>
      <w:r w:rsidR="00B7104B" w:rsidRPr="003948BA">
        <w:rPr>
          <w:b/>
          <w:color w:val="000000"/>
        </w:rPr>
        <w:t xml:space="preserve"> Plan</w:t>
      </w:r>
      <w:r>
        <w:rPr>
          <w:b/>
          <w:color w:val="000000"/>
        </w:rPr>
        <w:t>-</w:t>
      </w:r>
      <w:r w:rsidR="00D662E2">
        <w:rPr>
          <w:b/>
          <w:color w:val="000000"/>
        </w:rPr>
        <w:t>XI</w:t>
      </w:r>
      <w:r w:rsidR="00FB0549">
        <w:rPr>
          <w:b/>
          <w:color w:val="000000"/>
        </w:rPr>
        <w:t>V</w:t>
      </w:r>
      <w:r>
        <w:rPr>
          <w:b/>
          <w:color w:val="000000"/>
        </w:rPr>
        <w:t xml:space="preserve"> (</w:t>
      </w:r>
      <w:proofErr w:type="spellStart"/>
      <w:r>
        <w:rPr>
          <w:b/>
          <w:color w:val="000000"/>
        </w:rPr>
        <w:t>AIActAP</w:t>
      </w:r>
      <w:proofErr w:type="spellEnd"/>
      <w:r>
        <w:rPr>
          <w:b/>
          <w:color w:val="000000"/>
        </w:rPr>
        <w:t>-XIV)</w:t>
      </w:r>
    </w:p>
    <w:p w:rsidR="00B7104B" w:rsidRPr="003948BA" w:rsidRDefault="00B7104B" w:rsidP="00B7104B">
      <w:pPr>
        <w:pStyle w:val="BodyText"/>
        <w:spacing w:before="8"/>
        <w:ind w:left="1800"/>
        <w:rPr>
          <w:sz w:val="25"/>
        </w:rPr>
      </w:pPr>
    </w:p>
    <w:p w:rsidR="000020BF" w:rsidRPr="003948BA" w:rsidRDefault="00B7104B" w:rsidP="00A002A6">
      <w:pPr>
        <w:pStyle w:val="ListParagraph"/>
        <w:numPr>
          <w:ilvl w:val="0"/>
          <w:numId w:val="47"/>
        </w:numPr>
        <w:tabs>
          <w:tab w:val="left" w:pos="1821"/>
        </w:tabs>
        <w:spacing w:line="276" w:lineRule="auto"/>
        <w:ind w:right="1008"/>
        <w:jc w:val="both"/>
        <w:rPr>
          <w:color w:val="000000"/>
          <w:sz w:val="20"/>
          <w:szCs w:val="20"/>
        </w:rPr>
      </w:pPr>
      <w:r w:rsidRPr="003948BA">
        <w:rPr>
          <w:b/>
          <w:color w:val="000000"/>
          <w:sz w:val="20"/>
          <w:szCs w:val="20"/>
        </w:rPr>
        <w:t>Class “A” Units</w:t>
      </w:r>
      <w:r w:rsidR="000020BF" w:rsidRPr="003948BA">
        <w:rPr>
          <w:b/>
          <w:color w:val="000000"/>
          <w:sz w:val="20"/>
          <w:szCs w:val="20"/>
        </w:rPr>
        <w:t>:</w:t>
      </w:r>
      <w:r w:rsidRPr="003948BA">
        <w:rPr>
          <w:color w:val="000000"/>
          <w:sz w:val="20"/>
          <w:szCs w:val="20"/>
        </w:rPr>
        <w:t xml:space="preserve"> These </w:t>
      </w:r>
      <w:r w:rsidR="000020BF" w:rsidRPr="003948BA">
        <w:rPr>
          <w:color w:val="000000"/>
          <w:sz w:val="20"/>
          <w:szCs w:val="20"/>
        </w:rPr>
        <w:t xml:space="preserve">Units will be issued to the Unit Holders during the </w:t>
      </w:r>
      <w:r w:rsidR="00D662E2">
        <w:rPr>
          <w:color w:val="000000"/>
          <w:sz w:val="20"/>
          <w:szCs w:val="20"/>
        </w:rPr>
        <w:t>initial offering</w:t>
      </w:r>
      <w:r w:rsidR="00D662E2" w:rsidRPr="003948BA">
        <w:rPr>
          <w:color w:val="000000"/>
          <w:sz w:val="20"/>
          <w:szCs w:val="20"/>
        </w:rPr>
        <w:t xml:space="preserve"> </w:t>
      </w:r>
      <w:r w:rsidR="000020BF" w:rsidRPr="003948BA">
        <w:rPr>
          <w:color w:val="000000"/>
          <w:sz w:val="20"/>
          <w:szCs w:val="20"/>
        </w:rPr>
        <w:t>period of the plan. Class “A” units may carry Front- end load, a Contingent load, as well as certain restrictions on redemption on units as described in Annexure B.</w:t>
      </w:r>
    </w:p>
    <w:p w:rsidR="000020BF" w:rsidRPr="003948BA" w:rsidRDefault="000020BF" w:rsidP="000020BF">
      <w:pPr>
        <w:pStyle w:val="BodyText"/>
        <w:spacing w:before="5"/>
        <w:jc w:val="both"/>
        <w:rPr>
          <w:sz w:val="22"/>
        </w:rPr>
      </w:pPr>
    </w:p>
    <w:p w:rsidR="000020BF" w:rsidRPr="003948BA" w:rsidRDefault="000020BF" w:rsidP="000020BF">
      <w:pPr>
        <w:spacing w:line="278" w:lineRule="auto"/>
        <w:ind w:left="1772" w:right="1020"/>
        <w:jc w:val="both"/>
        <w:rPr>
          <w:sz w:val="16"/>
        </w:rPr>
      </w:pPr>
      <w:r w:rsidRPr="003948BA">
        <w:rPr>
          <w:b/>
          <w:sz w:val="16"/>
        </w:rPr>
        <w:t xml:space="preserve">Note: </w:t>
      </w:r>
      <w:r w:rsidRPr="003948BA">
        <w:rPr>
          <w:sz w:val="16"/>
        </w:rPr>
        <w:t>The offer of Class “A” Units for certain Plans may be opened only for specific time periods at the discretion of the Management Company and as per the terms and conditions of the Offering Document.</w:t>
      </w:r>
    </w:p>
    <w:p w:rsidR="00B7104B" w:rsidRPr="003948BA" w:rsidRDefault="00B7104B" w:rsidP="000020BF">
      <w:pPr>
        <w:spacing w:line="278" w:lineRule="auto"/>
        <w:ind w:left="1772" w:right="1020"/>
        <w:jc w:val="both"/>
        <w:rPr>
          <w:sz w:val="16"/>
        </w:rPr>
      </w:pPr>
    </w:p>
    <w:p w:rsidR="000020BF" w:rsidRPr="003948BA" w:rsidRDefault="000020BF" w:rsidP="00A002A6">
      <w:pPr>
        <w:pStyle w:val="ListParagraph"/>
        <w:numPr>
          <w:ilvl w:val="0"/>
          <w:numId w:val="47"/>
        </w:numPr>
        <w:tabs>
          <w:tab w:val="left" w:pos="1821"/>
        </w:tabs>
        <w:spacing w:line="276" w:lineRule="auto"/>
        <w:ind w:right="1003"/>
        <w:jc w:val="both"/>
        <w:rPr>
          <w:sz w:val="20"/>
        </w:rPr>
      </w:pPr>
      <w:r w:rsidRPr="003948BA">
        <w:rPr>
          <w:b/>
          <w:color w:val="000000"/>
          <w:sz w:val="20"/>
          <w:szCs w:val="20"/>
        </w:rPr>
        <w:t xml:space="preserve">Class “B” </w:t>
      </w:r>
      <w:r w:rsidR="00B7104B" w:rsidRPr="003948BA">
        <w:rPr>
          <w:b/>
          <w:color w:val="000000"/>
          <w:sz w:val="20"/>
          <w:szCs w:val="20"/>
        </w:rPr>
        <w:t xml:space="preserve">Units: </w:t>
      </w:r>
      <w:r w:rsidR="00B7104B" w:rsidRPr="003948BA">
        <w:rPr>
          <w:color w:val="000000"/>
          <w:sz w:val="20"/>
          <w:szCs w:val="20"/>
        </w:rPr>
        <w:t>These are</w:t>
      </w:r>
      <w:r w:rsidR="00B7104B" w:rsidRPr="003948BA">
        <w:rPr>
          <w:b/>
          <w:color w:val="000000"/>
          <w:sz w:val="20"/>
          <w:szCs w:val="20"/>
        </w:rPr>
        <w:t xml:space="preserve"> </w:t>
      </w:r>
      <w:r w:rsidR="00C569CC" w:rsidRPr="00C569CC">
        <w:rPr>
          <w:b/>
          <w:color w:val="000000"/>
          <w:sz w:val="20"/>
          <w:szCs w:val="20"/>
        </w:rPr>
        <w:t>(</w:t>
      </w:r>
      <w:r w:rsidRPr="00C569CC">
        <w:rPr>
          <w:b/>
          <w:color w:val="000000"/>
          <w:sz w:val="20"/>
          <w:szCs w:val="20"/>
        </w:rPr>
        <w:t>Bonus Units</w:t>
      </w:r>
      <w:r w:rsidR="00C569CC" w:rsidRPr="00C569CC">
        <w:rPr>
          <w:b/>
          <w:color w:val="000000"/>
          <w:sz w:val="20"/>
          <w:szCs w:val="20"/>
        </w:rPr>
        <w:t>)</w:t>
      </w:r>
      <w:r w:rsidRPr="003948BA">
        <w:rPr>
          <w:color w:val="000000"/>
          <w:sz w:val="20"/>
          <w:szCs w:val="20"/>
        </w:rPr>
        <w:t xml:space="preserve"> which may be issued to the Unit Holders in case of bonus / stock dividend from time to time, net of any applicable taxes. These units shall not be charged with any Front-end Load. Class “B units shall have Contingent load or restrictions on redemption of Units, as described in Annexure B.</w:t>
      </w:r>
    </w:p>
    <w:p w:rsidR="000020BF" w:rsidRPr="003948BA" w:rsidRDefault="000020BF" w:rsidP="000020BF">
      <w:pPr>
        <w:pStyle w:val="BodyText"/>
        <w:jc w:val="both"/>
        <w:rPr>
          <w:sz w:val="22"/>
        </w:rPr>
      </w:pPr>
    </w:p>
    <w:p w:rsidR="000020BF" w:rsidRPr="003948BA" w:rsidRDefault="000020BF" w:rsidP="000020BF">
      <w:pPr>
        <w:pStyle w:val="BodyText"/>
        <w:spacing w:before="8"/>
        <w:jc w:val="both"/>
        <w:rPr>
          <w:sz w:val="17"/>
        </w:rPr>
      </w:pPr>
    </w:p>
    <w:p w:rsidR="000020BF" w:rsidRPr="003948BA" w:rsidRDefault="000020BF" w:rsidP="00A002A6">
      <w:pPr>
        <w:pStyle w:val="ListParagraph"/>
        <w:numPr>
          <w:ilvl w:val="0"/>
          <w:numId w:val="47"/>
        </w:numPr>
        <w:tabs>
          <w:tab w:val="left" w:pos="1821"/>
        </w:tabs>
        <w:spacing w:line="276" w:lineRule="auto"/>
        <w:ind w:right="1004"/>
        <w:jc w:val="both"/>
        <w:rPr>
          <w:color w:val="000000"/>
          <w:sz w:val="20"/>
          <w:szCs w:val="20"/>
        </w:rPr>
      </w:pPr>
      <w:r w:rsidRPr="003948BA">
        <w:rPr>
          <w:b/>
          <w:color w:val="000000"/>
          <w:sz w:val="20"/>
          <w:szCs w:val="20"/>
        </w:rPr>
        <w:t>Class “C” Units</w:t>
      </w:r>
      <w:r w:rsidR="00B7104B" w:rsidRPr="003948BA">
        <w:rPr>
          <w:b/>
          <w:color w:val="000000"/>
          <w:sz w:val="20"/>
          <w:szCs w:val="20"/>
        </w:rPr>
        <w:t>:</w:t>
      </w:r>
      <w:r w:rsidRPr="003948BA">
        <w:rPr>
          <w:b/>
          <w:color w:val="000000"/>
          <w:sz w:val="20"/>
          <w:szCs w:val="20"/>
        </w:rPr>
        <w:t xml:space="preserve"> </w:t>
      </w:r>
      <w:r w:rsidR="00B7104B" w:rsidRPr="003948BA">
        <w:rPr>
          <w:color w:val="000000"/>
          <w:sz w:val="20"/>
          <w:szCs w:val="20"/>
        </w:rPr>
        <w:t>These are</w:t>
      </w:r>
      <w:r w:rsidR="00B7104B" w:rsidRPr="003948BA">
        <w:rPr>
          <w:b/>
          <w:color w:val="000000"/>
          <w:sz w:val="20"/>
          <w:szCs w:val="20"/>
        </w:rPr>
        <w:t xml:space="preserve"> (Dividend R</w:t>
      </w:r>
      <w:r w:rsidRPr="003948BA">
        <w:rPr>
          <w:b/>
          <w:color w:val="000000"/>
          <w:sz w:val="20"/>
          <w:szCs w:val="20"/>
        </w:rPr>
        <w:t>e-Investment Units</w:t>
      </w:r>
      <w:r w:rsidR="00B7104B" w:rsidRPr="003948BA">
        <w:rPr>
          <w:b/>
          <w:color w:val="000000"/>
          <w:sz w:val="20"/>
          <w:szCs w:val="20"/>
        </w:rPr>
        <w:t xml:space="preserve">) </w:t>
      </w:r>
      <w:r w:rsidRPr="003948BA">
        <w:rPr>
          <w:color w:val="000000"/>
          <w:sz w:val="20"/>
          <w:szCs w:val="20"/>
        </w:rPr>
        <w:t xml:space="preserve">which will be issued to the Unit Holders in case of reinvestment of any Cash Dividends announced (as defined in clause 5.5) from time  to time, net of any applicable taxes. These units shall not be charged with any Front-end Load. Class “C” Units </w:t>
      </w:r>
      <w:r w:rsidR="0025550F" w:rsidRPr="003948BA">
        <w:rPr>
          <w:color w:val="000000"/>
          <w:sz w:val="20"/>
          <w:szCs w:val="20"/>
        </w:rPr>
        <w:t>shall</w:t>
      </w:r>
      <w:r w:rsidRPr="003948BA">
        <w:rPr>
          <w:color w:val="000000"/>
          <w:sz w:val="20"/>
          <w:szCs w:val="20"/>
        </w:rPr>
        <w:t xml:space="preserve"> have Contingent load and restrictions on redemptions of Units as described in Annexure B.</w:t>
      </w:r>
    </w:p>
    <w:p w:rsidR="000020BF" w:rsidRPr="003948BA" w:rsidRDefault="000020BF" w:rsidP="000020BF">
      <w:pPr>
        <w:pStyle w:val="BodyText"/>
        <w:spacing w:before="3"/>
        <w:jc w:val="both"/>
        <w:rPr>
          <w:sz w:val="24"/>
        </w:rPr>
      </w:pPr>
    </w:p>
    <w:p w:rsidR="00BB24F4" w:rsidRPr="003948BA" w:rsidRDefault="000020BF" w:rsidP="000020BF">
      <w:pPr>
        <w:pStyle w:val="ListParagraph"/>
        <w:tabs>
          <w:tab w:val="left" w:pos="360"/>
        </w:tabs>
        <w:adjustRightInd w:val="0"/>
        <w:ind w:left="1820"/>
        <w:jc w:val="both"/>
        <w:rPr>
          <w:color w:val="000000"/>
          <w:sz w:val="20"/>
          <w:szCs w:val="20"/>
          <w:u w:val="single"/>
        </w:rPr>
      </w:pPr>
      <w:r w:rsidRPr="003948BA">
        <w:rPr>
          <w:color w:val="000000"/>
          <w:sz w:val="20"/>
          <w:szCs w:val="20"/>
        </w:rPr>
        <w:tab/>
      </w:r>
      <w:r w:rsidRPr="003948BA">
        <w:rPr>
          <w:color w:val="000000"/>
          <w:sz w:val="20"/>
          <w:szCs w:val="20"/>
          <w:u w:val="single"/>
        </w:rPr>
        <w:t xml:space="preserve">Please refer to Annexure B for relevant features (applicable load and restrictions) for </w:t>
      </w:r>
    </w:p>
    <w:p w:rsidR="000020BF" w:rsidRPr="003948BA" w:rsidRDefault="00BB24F4" w:rsidP="000020BF">
      <w:pPr>
        <w:pStyle w:val="ListParagraph"/>
        <w:tabs>
          <w:tab w:val="left" w:pos="360"/>
        </w:tabs>
        <w:adjustRightInd w:val="0"/>
        <w:ind w:left="1820"/>
        <w:jc w:val="both"/>
        <w:rPr>
          <w:color w:val="000000"/>
          <w:sz w:val="20"/>
          <w:szCs w:val="20"/>
          <w:u w:val="single"/>
        </w:rPr>
      </w:pPr>
      <w:r w:rsidRPr="003948BA">
        <w:rPr>
          <w:color w:val="000000"/>
          <w:sz w:val="20"/>
          <w:szCs w:val="20"/>
        </w:rPr>
        <w:tab/>
      </w:r>
      <w:r w:rsidR="000020BF" w:rsidRPr="003948BA">
        <w:rPr>
          <w:color w:val="000000"/>
          <w:sz w:val="20"/>
          <w:szCs w:val="20"/>
          <w:u w:val="single"/>
        </w:rPr>
        <w:t xml:space="preserve">various classes of units for </w:t>
      </w:r>
      <w:r w:rsidR="00C569CC">
        <w:rPr>
          <w:color w:val="000000"/>
          <w:sz w:val="20"/>
          <w:szCs w:val="20"/>
          <w:u w:val="single"/>
        </w:rPr>
        <w:t xml:space="preserve">the respective Allocation </w:t>
      </w:r>
      <w:r w:rsidR="000020BF" w:rsidRPr="003948BA">
        <w:rPr>
          <w:color w:val="000000"/>
          <w:sz w:val="20"/>
          <w:szCs w:val="20"/>
          <w:u w:val="single"/>
        </w:rPr>
        <w:t>Plans.</w:t>
      </w:r>
    </w:p>
    <w:p w:rsidR="0025550F" w:rsidRPr="003948BA" w:rsidRDefault="0025550F" w:rsidP="00FB0549">
      <w:pPr>
        <w:pStyle w:val="ListParagraph"/>
        <w:tabs>
          <w:tab w:val="left" w:pos="1821"/>
        </w:tabs>
        <w:spacing w:line="276" w:lineRule="auto"/>
        <w:ind w:left="1820" w:right="1004" w:firstLine="0"/>
        <w:jc w:val="both"/>
        <w:rPr>
          <w:color w:val="000000"/>
          <w:sz w:val="20"/>
          <w:szCs w:val="20"/>
        </w:rPr>
      </w:pPr>
    </w:p>
    <w:p w:rsidR="005E5B48" w:rsidRPr="003948BA" w:rsidRDefault="00814043" w:rsidP="00A002A6">
      <w:pPr>
        <w:pStyle w:val="ListParagraph"/>
        <w:numPr>
          <w:ilvl w:val="2"/>
          <w:numId w:val="25"/>
        </w:numPr>
        <w:tabs>
          <w:tab w:val="left" w:pos="2003"/>
        </w:tabs>
        <w:spacing w:before="93" w:line="276" w:lineRule="auto"/>
        <w:ind w:right="1021" w:hanging="547"/>
        <w:jc w:val="both"/>
        <w:rPr>
          <w:sz w:val="20"/>
        </w:rPr>
      </w:pPr>
      <w:r w:rsidRPr="003948BA">
        <w:rPr>
          <w:sz w:val="20"/>
        </w:rPr>
        <w:t xml:space="preserve">Irrespective of the different classes of Units as set out above, all Units of an Allocation Plan issued from time to time shall rank </w:t>
      </w:r>
      <w:proofErr w:type="spellStart"/>
      <w:r w:rsidRPr="003948BA">
        <w:rPr>
          <w:sz w:val="20"/>
        </w:rPr>
        <w:t>pari</w:t>
      </w:r>
      <w:proofErr w:type="spellEnd"/>
      <w:r w:rsidRPr="003948BA">
        <w:rPr>
          <w:sz w:val="20"/>
        </w:rPr>
        <w:t xml:space="preserve"> </w:t>
      </w:r>
      <w:proofErr w:type="spellStart"/>
      <w:r w:rsidRPr="003948BA">
        <w:rPr>
          <w:sz w:val="20"/>
        </w:rPr>
        <w:t>passu</w:t>
      </w:r>
      <w:proofErr w:type="spellEnd"/>
      <w:r w:rsidRPr="003948BA">
        <w:rPr>
          <w:sz w:val="20"/>
        </w:rPr>
        <w:t xml:space="preserve"> inter </w:t>
      </w:r>
      <w:r w:rsidRPr="003948BA">
        <w:rPr>
          <w:spacing w:val="3"/>
          <w:sz w:val="20"/>
        </w:rPr>
        <w:t xml:space="preserve">se </w:t>
      </w:r>
      <w:r w:rsidRPr="003948BA">
        <w:rPr>
          <w:sz w:val="20"/>
        </w:rPr>
        <w:t>and shall have such rights as are set out in the Trust Deed and this Offering Document unless stated</w:t>
      </w:r>
      <w:r w:rsidRPr="003948BA">
        <w:rPr>
          <w:spacing w:val="-43"/>
          <w:sz w:val="20"/>
        </w:rPr>
        <w:t xml:space="preserve"> </w:t>
      </w:r>
      <w:r w:rsidRPr="003948BA">
        <w:rPr>
          <w:sz w:val="20"/>
        </w:rPr>
        <w:t>otherwise.</w:t>
      </w:r>
    </w:p>
    <w:p w:rsidR="005E5B48" w:rsidRPr="003948BA" w:rsidRDefault="005E5B48">
      <w:pPr>
        <w:pStyle w:val="BodyText"/>
        <w:rPr>
          <w:sz w:val="23"/>
        </w:rPr>
      </w:pPr>
    </w:p>
    <w:p w:rsidR="005E5B48" w:rsidRPr="003948BA" w:rsidRDefault="00814043" w:rsidP="00A002A6">
      <w:pPr>
        <w:pStyle w:val="ListParagraph"/>
        <w:numPr>
          <w:ilvl w:val="2"/>
          <w:numId w:val="25"/>
        </w:numPr>
        <w:tabs>
          <w:tab w:val="left" w:pos="2003"/>
        </w:tabs>
        <w:spacing w:before="1" w:line="276" w:lineRule="auto"/>
        <w:ind w:right="1010" w:hanging="547"/>
        <w:jc w:val="both"/>
        <w:rPr>
          <w:sz w:val="20"/>
        </w:rPr>
      </w:pPr>
      <w:r w:rsidRPr="003948BA">
        <w:rPr>
          <w:sz w:val="20"/>
        </w:rPr>
        <w:t xml:space="preserve">If a Unit Holder does not state his preference between getting a cash dividend or re- investing the dividend during the account opening stage, he will automatically be put in the </w:t>
      </w:r>
      <w:r w:rsidR="008715B3">
        <w:rPr>
          <w:sz w:val="20"/>
        </w:rPr>
        <w:t xml:space="preserve">cash </w:t>
      </w:r>
      <w:r w:rsidRPr="003948BA">
        <w:rPr>
          <w:sz w:val="20"/>
        </w:rPr>
        <w:t>dividend category. However, before a dividend is announced the Unit Holder can change this, opting for a dividend</w:t>
      </w:r>
      <w:r w:rsidR="008715B3">
        <w:rPr>
          <w:sz w:val="20"/>
        </w:rPr>
        <w:t xml:space="preserve"> reinvestment</w:t>
      </w:r>
      <w:r w:rsidRPr="003948BA">
        <w:rPr>
          <w:sz w:val="20"/>
        </w:rPr>
        <w:t xml:space="preserve"> using a “Service Request Form.”</w:t>
      </w:r>
    </w:p>
    <w:p w:rsidR="005E5B48" w:rsidRPr="003948BA" w:rsidRDefault="005E5B48">
      <w:pPr>
        <w:pStyle w:val="BodyText"/>
        <w:spacing w:before="2"/>
        <w:rPr>
          <w:sz w:val="22"/>
        </w:rPr>
      </w:pPr>
    </w:p>
    <w:p w:rsidR="005E5B48" w:rsidRPr="003948BA" w:rsidRDefault="00814043" w:rsidP="00A002A6">
      <w:pPr>
        <w:pStyle w:val="Heading5"/>
        <w:numPr>
          <w:ilvl w:val="1"/>
          <w:numId w:val="25"/>
        </w:numPr>
        <w:tabs>
          <w:tab w:val="left" w:pos="2079"/>
          <w:tab w:val="left" w:pos="2080"/>
        </w:tabs>
        <w:ind w:left="2079" w:hanging="799"/>
        <w:jc w:val="left"/>
      </w:pPr>
      <w:bookmarkStart w:id="53" w:name="_bookmark43"/>
      <w:bookmarkEnd w:id="53"/>
      <w:r w:rsidRPr="003948BA">
        <w:t>Purchase and Redemption of</w:t>
      </w:r>
      <w:r w:rsidRPr="003948BA">
        <w:rPr>
          <w:spacing w:val="-7"/>
        </w:rPr>
        <w:t xml:space="preserve"> </w:t>
      </w:r>
      <w:r w:rsidRPr="003948BA">
        <w:t>Units</w:t>
      </w:r>
    </w:p>
    <w:p w:rsidR="005E5B48" w:rsidRPr="003948BA" w:rsidRDefault="005E5B48">
      <w:pPr>
        <w:pStyle w:val="BodyText"/>
        <w:spacing w:before="10"/>
        <w:rPr>
          <w:b/>
          <w:sz w:val="27"/>
        </w:rPr>
      </w:pPr>
    </w:p>
    <w:p w:rsidR="005E5B48" w:rsidRPr="003948BA" w:rsidRDefault="00814043" w:rsidP="00A002A6">
      <w:pPr>
        <w:pStyle w:val="ListParagraph"/>
        <w:numPr>
          <w:ilvl w:val="0"/>
          <w:numId w:val="24"/>
        </w:numPr>
        <w:tabs>
          <w:tab w:val="left" w:pos="2001"/>
        </w:tabs>
        <w:ind w:right="1019"/>
        <w:jc w:val="both"/>
        <w:rPr>
          <w:sz w:val="20"/>
        </w:rPr>
      </w:pPr>
      <w:r w:rsidRPr="003948BA">
        <w:rPr>
          <w:sz w:val="20"/>
        </w:rPr>
        <w:t>Units are purchased at the Offer Price and redeemed at the Redemption Price at any of the Authorized Distribution Offices during Business Hours on any Dealing Day in accordance with the procedure set out in of this Offering</w:t>
      </w:r>
      <w:r w:rsidRPr="003948BA">
        <w:rPr>
          <w:spacing w:val="-16"/>
          <w:sz w:val="20"/>
        </w:rPr>
        <w:t xml:space="preserve"> </w:t>
      </w:r>
      <w:r w:rsidRPr="003948BA">
        <w:rPr>
          <w:sz w:val="20"/>
        </w:rPr>
        <w:t>Document.</w:t>
      </w:r>
    </w:p>
    <w:p w:rsidR="005E5B48" w:rsidRPr="003948BA" w:rsidRDefault="005E5B48">
      <w:pPr>
        <w:pStyle w:val="BodyText"/>
        <w:spacing w:before="2"/>
      </w:pPr>
    </w:p>
    <w:p w:rsidR="005E5B48" w:rsidRPr="003948BA" w:rsidRDefault="00814043" w:rsidP="00A002A6">
      <w:pPr>
        <w:pStyle w:val="ListParagraph"/>
        <w:numPr>
          <w:ilvl w:val="0"/>
          <w:numId w:val="24"/>
        </w:numPr>
        <w:tabs>
          <w:tab w:val="left" w:pos="2001"/>
        </w:tabs>
        <w:spacing w:line="237" w:lineRule="auto"/>
        <w:ind w:right="1029"/>
        <w:jc w:val="both"/>
        <w:rPr>
          <w:sz w:val="20"/>
        </w:rPr>
      </w:pPr>
      <w:r w:rsidRPr="003948BA">
        <w:rPr>
          <w:sz w:val="20"/>
        </w:rPr>
        <w:t>Units are issued after realization of subscription</w:t>
      </w:r>
      <w:r w:rsidRPr="003948BA">
        <w:rPr>
          <w:spacing w:val="-14"/>
          <w:sz w:val="20"/>
        </w:rPr>
        <w:t xml:space="preserve"> </w:t>
      </w:r>
      <w:r w:rsidRPr="003948BA">
        <w:rPr>
          <w:sz w:val="20"/>
        </w:rPr>
        <w:t>money</w:t>
      </w:r>
      <w:r w:rsidR="002826E9" w:rsidRPr="003948BA">
        <w:rPr>
          <w:sz w:val="20"/>
        </w:rPr>
        <w:t xml:space="preserve">. </w:t>
      </w:r>
      <w:r w:rsidRPr="003948BA">
        <w:rPr>
          <w:sz w:val="20"/>
        </w:rPr>
        <w:t xml:space="preserve">During the period the register </w:t>
      </w:r>
      <w:r w:rsidRPr="003948BA">
        <w:rPr>
          <w:sz w:val="20"/>
        </w:rPr>
        <w:lastRenderedPageBreak/>
        <w:t>is closed, the sale, redemption and conversion of Units will be</w:t>
      </w:r>
      <w:r w:rsidRPr="003948BA">
        <w:rPr>
          <w:spacing w:val="-11"/>
          <w:sz w:val="20"/>
        </w:rPr>
        <w:t xml:space="preserve"> </w:t>
      </w:r>
      <w:r w:rsidRPr="003948BA">
        <w:rPr>
          <w:sz w:val="20"/>
        </w:rPr>
        <w:t>suspended.</w:t>
      </w:r>
    </w:p>
    <w:p w:rsidR="005E5B48" w:rsidRPr="003948BA" w:rsidRDefault="005E5B48">
      <w:pPr>
        <w:pStyle w:val="BodyText"/>
        <w:spacing w:before="7"/>
        <w:rPr>
          <w:sz w:val="19"/>
        </w:rPr>
      </w:pPr>
    </w:p>
    <w:p w:rsidR="005E5B48" w:rsidRPr="003948BA" w:rsidRDefault="00814043" w:rsidP="00A002A6">
      <w:pPr>
        <w:pStyle w:val="ListParagraph"/>
        <w:numPr>
          <w:ilvl w:val="0"/>
          <w:numId w:val="24"/>
        </w:numPr>
        <w:tabs>
          <w:tab w:val="left" w:pos="2001"/>
        </w:tabs>
        <w:ind w:right="1013"/>
        <w:jc w:val="both"/>
        <w:rPr>
          <w:sz w:val="20"/>
        </w:rPr>
      </w:pPr>
      <w:r w:rsidRPr="003948BA">
        <w:rPr>
          <w:sz w:val="20"/>
        </w:rPr>
        <w:t>The Management Company may decline an applicant for issue of units if it is of the opinion that it will not be possible to invest the substantial inflow of Funds or to meet any regulatory</w:t>
      </w:r>
      <w:r w:rsidRPr="003948BA">
        <w:rPr>
          <w:spacing w:val="-17"/>
          <w:sz w:val="20"/>
        </w:rPr>
        <w:t xml:space="preserve"> </w:t>
      </w:r>
      <w:r w:rsidRPr="003948BA">
        <w:rPr>
          <w:sz w:val="20"/>
        </w:rPr>
        <w:t>requirements.</w:t>
      </w:r>
    </w:p>
    <w:p w:rsidR="005E5B48" w:rsidRPr="003948BA" w:rsidRDefault="005E5B48">
      <w:pPr>
        <w:pStyle w:val="BodyText"/>
        <w:spacing w:before="1"/>
        <w:rPr>
          <w:sz w:val="32"/>
        </w:rPr>
      </w:pPr>
    </w:p>
    <w:p w:rsidR="005E5B48" w:rsidRPr="003948BA" w:rsidRDefault="00814043" w:rsidP="00A002A6">
      <w:pPr>
        <w:pStyle w:val="Heading5"/>
        <w:numPr>
          <w:ilvl w:val="1"/>
          <w:numId w:val="25"/>
        </w:numPr>
        <w:tabs>
          <w:tab w:val="left" w:pos="2000"/>
          <w:tab w:val="left" w:pos="2001"/>
        </w:tabs>
        <w:ind w:left="2000" w:hanging="720"/>
        <w:jc w:val="left"/>
      </w:pPr>
      <w:bookmarkStart w:id="54" w:name="_bookmark44"/>
      <w:bookmarkEnd w:id="54"/>
      <w:r w:rsidRPr="003948BA">
        <w:t>Procedure for Purchase of</w:t>
      </w:r>
      <w:r w:rsidRPr="003948BA">
        <w:rPr>
          <w:spacing w:val="-10"/>
        </w:rPr>
        <w:t xml:space="preserve"> </w:t>
      </w:r>
      <w:r w:rsidRPr="003948BA">
        <w:t>Units</w:t>
      </w:r>
    </w:p>
    <w:p w:rsidR="005E5B48" w:rsidRPr="003948BA" w:rsidRDefault="005E5B48">
      <w:pPr>
        <w:pStyle w:val="BodyText"/>
        <w:spacing w:before="10"/>
        <w:rPr>
          <w:b/>
        </w:rPr>
      </w:pPr>
    </w:p>
    <w:p w:rsidR="005E5B48" w:rsidRPr="003948BA" w:rsidRDefault="00814043" w:rsidP="00A002A6">
      <w:pPr>
        <w:pStyle w:val="ListParagraph"/>
        <w:numPr>
          <w:ilvl w:val="2"/>
          <w:numId w:val="25"/>
        </w:numPr>
        <w:tabs>
          <w:tab w:val="left" w:pos="2000"/>
          <w:tab w:val="left" w:pos="2001"/>
        </w:tabs>
        <w:ind w:left="2000" w:hanging="720"/>
        <w:rPr>
          <w:b/>
          <w:sz w:val="20"/>
        </w:rPr>
      </w:pPr>
      <w:r w:rsidRPr="003948BA">
        <w:rPr>
          <w:b/>
          <w:sz w:val="20"/>
        </w:rPr>
        <w:t>Who Can</w:t>
      </w:r>
      <w:r w:rsidRPr="003948BA">
        <w:rPr>
          <w:b/>
          <w:spacing w:val="-6"/>
          <w:sz w:val="20"/>
        </w:rPr>
        <w:t xml:space="preserve"> </w:t>
      </w:r>
      <w:r w:rsidRPr="003948BA">
        <w:rPr>
          <w:b/>
          <w:sz w:val="20"/>
        </w:rPr>
        <w:t>Apply?</w:t>
      </w:r>
    </w:p>
    <w:p w:rsidR="005E5B48" w:rsidRPr="003948BA" w:rsidRDefault="00814043">
      <w:pPr>
        <w:pStyle w:val="BodyText"/>
        <w:ind w:left="2000" w:right="1011"/>
        <w:jc w:val="both"/>
      </w:pPr>
      <w:r w:rsidRPr="003948BA">
        <w:t>Any investor or any related group of investors qualified or authorized to purchase the Units may make applications for the Purchase of Units of Allocation Plans under the Fund. Application may be made pursuant to the procedures described in paragraph</w:t>
      </w:r>
    </w:p>
    <w:p w:rsidR="005E5B48" w:rsidRPr="003948BA" w:rsidRDefault="00814043" w:rsidP="00A002A6">
      <w:pPr>
        <w:pStyle w:val="ListParagraph"/>
        <w:numPr>
          <w:ilvl w:val="2"/>
          <w:numId w:val="25"/>
        </w:numPr>
        <w:tabs>
          <w:tab w:val="left" w:pos="2514"/>
        </w:tabs>
        <w:ind w:left="2000" w:right="1025" w:firstLine="0"/>
        <w:jc w:val="both"/>
        <w:rPr>
          <w:sz w:val="20"/>
        </w:rPr>
      </w:pPr>
      <w:r w:rsidRPr="003948BA">
        <w:rPr>
          <w:sz w:val="20"/>
        </w:rPr>
        <w:t>below by any qualified or authorized investor(s) including, but not limited to, the following:</w:t>
      </w:r>
    </w:p>
    <w:p w:rsidR="005E5B48" w:rsidRPr="003948BA" w:rsidRDefault="005E5B48">
      <w:pPr>
        <w:pStyle w:val="BodyText"/>
        <w:spacing w:before="3"/>
      </w:pPr>
    </w:p>
    <w:p w:rsidR="005E5B48" w:rsidRPr="003948BA" w:rsidRDefault="00814043" w:rsidP="00A002A6">
      <w:pPr>
        <w:pStyle w:val="ListParagraph"/>
        <w:numPr>
          <w:ilvl w:val="0"/>
          <w:numId w:val="23"/>
        </w:numPr>
        <w:tabs>
          <w:tab w:val="left" w:pos="2001"/>
        </w:tabs>
        <w:ind w:right="1026"/>
        <w:jc w:val="both"/>
        <w:rPr>
          <w:sz w:val="20"/>
        </w:rPr>
      </w:pPr>
      <w:r w:rsidRPr="003948BA">
        <w:rPr>
          <w:sz w:val="20"/>
        </w:rPr>
        <w:t>Citizens of Pakistan resident in Pakistan. In respect of minors below 18 years of age, applications may only be made by their</w:t>
      </w:r>
      <w:r w:rsidRPr="003948BA">
        <w:rPr>
          <w:spacing w:val="-24"/>
          <w:sz w:val="20"/>
        </w:rPr>
        <w:t xml:space="preserve"> </w:t>
      </w:r>
      <w:r w:rsidRPr="003948BA">
        <w:rPr>
          <w:sz w:val="20"/>
        </w:rPr>
        <w:t>guardians.</w:t>
      </w:r>
    </w:p>
    <w:p w:rsidR="005E5B48" w:rsidRPr="003948BA" w:rsidRDefault="005E5B48">
      <w:pPr>
        <w:pStyle w:val="BodyText"/>
        <w:spacing w:before="10"/>
        <w:rPr>
          <w:sz w:val="19"/>
        </w:rPr>
      </w:pPr>
    </w:p>
    <w:p w:rsidR="005E5B48" w:rsidRPr="003948BA" w:rsidRDefault="00814043" w:rsidP="00A002A6">
      <w:pPr>
        <w:pStyle w:val="ListParagraph"/>
        <w:numPr>
          <w:ilvl w:val="0"/>
          <w:numId w:val="23"/>
        </w:numPr>
        <w:tabs>
          <w:tab w:val="left" w:pos="2001"/>
        </w:tabs>
        <w:spacing w:before="1"/>
        <w:ind w:right="1019"/>
        <w:jc w:val="both"/>
        <w:rPr>
          <w:sz w:val="20"/>
        </w:rPr>
      </w:pPr>
      <w:r w:rsidRPr="003948BA">
        <w:rPr>
          <w:sz w:val="20"/>
        </w:rPr>
        <w:t>Companies, corporate bodies, financial institutions, banks, partners of a firm and societies incorporated in Pakistan provided such investment is permitted under their respective memorandum and articles of association and / or</w:t>
      </w:r>
      <w:r w:rsidRPr="003948BA">
        <w:rPr>
          <w:spacing w:val="-18"/>
          <w:sz w:val="20"/>
        </w:rPr>
        <w:t xml:space="preserve"> </w:t>
      </w:r>
      <w:r w:rsidRPr="003948BA">
        <w:rPr>
          <w:sz w:val="20"/>
        </w:rPr>
        <w:t>bye-laws.</w:t>
      </w:r>
    </w:p>
    <w:p w:rsidR="005E5B48" w:rsidRPr="003948BA" w:rsidRDefault="005E5B48">
      <w:pPr>
        <w:pStyle w:val="BodyText"/>
        <w:spacing w:before="1"/>
      </w:pPr>
    </w:p>
    <w:p w:rsidR="005E5B48" w:rsidRPr="003948BA" w:rsidRDefault="00814043" w:rsidP="00A002A6">
      <w:pPr>
        <w:pStyle w:val="ListParagraph"/>
        <w:numPr>
          <w:ilvl w:val="0"/>
          <w:numId w:val="23"/>
        </w:numPr>
        <w:tabs>
          <w:tab w:val="left" w:pos="2001"/>
        </w:tabs>
        <w:ind w:right="1019"/>
        <w:jc w:val="both"/>
        <w:rPr>
          <w:sz w:val="20"/>
        </w:rPr>
      </w:pPr>
      <w:r w:rsidRPr="003948BA">
        <w:rPr>
          <w:sz w:val="20"/>
        </w:rPr>
        <w:t>Pakistanis resident abroad, foreign nationals and companies incorporated outside Pakistan can apply for Units subject to the regulations of the State Bank of Pakistan and the Government of Pakistan and any such regulations and laws that may apply to their place of residence, domicile and citizenship. The payment of dividends and redemption proceeds to such investors shall be subject to the relevant taxation and exchange regulations / laws. Any person making an application for the Purchase of Units in the Fund shall warrant that he/she is duly authorized to purchase such</w:t>
      </w:r>
      <w:r w:rsidRPr="003948BA">
        <w:rPr>
          <w:spacing w:val="-44"/>
          <w:sz w:val="20"/>
        </w:rPr>
        <w:t xml:space="preserve"> </w:t>
      </w:r>
      <w:r w:rsidRPr="003948BA">
        <w:rPr>
          <w:sz w:val="20"/>
        </w:rPr>
        <w:t>Units.</w:t>
      </w:r>
    </w:p>
    <w:p w:rsidR="005E5B48" w:rsidRPr="003948BA" w:rsidRDefault="005E5B48">
      <w:pPr>
        <w:pStyle w:val="BodyText"/>
        <w:spacing w:before="9"/>
        <w:rPr>
          <w:sz w:val="26"/>
        </w:rPr>
      </w:pPr>
    </w:p>
    <w:p w:rsidR="005E5B48" w:rsidRPr="003948BA" w:rsidRDefault="00814043" w:rsidP="00A002A6">
      <w:pPr>
        <w:pStyle w:val="ListParagraph"/>
        <w:numPr>
          <w:ilvl w:val="0"/>
          <w:numId w:val="23"/>
        </w:numPr>
        <w:tabs>
          <w:tab w:val="left" w:pos="2001"/>
        </w:tabs>
        <w:spacing w:line="237" w:lineRule="auto"/>
        <w:ind w:right="1012"/>
        <w:jc w:val="both"/>
        <w:rPr>
          <w:sz w:val="20"/>
        </w:rPr>
      </w:pPr>
      <w:r w:rsidRPr="003948BA">
        <w:rPr>
          <w:sz w:val="20"/>
        </w:rPr>
        <w:t>Provident Funds constituted by companies registered under the Companies Ordinance, 1984, subject to conditions and investment limits as laid down in Employees Provident Fund (Investment in Listed Securities) Rules, 1996, as amended from time to time, including by</w:t>
      </w:r>
      <w:r w:rsidRPr="003948BA">
        <w:rPr>
          <w:spacing w:val="-3"/>
          <w:sz w:val="20"/>
        </w:rPr>
        <w:t xml:space="preserve"> </w:t>
      </w:r>
      <w:r w:rsidRPr="003948BA">
        <w:rPr>
          <w:sz w:val="20"/>
        </w:rPr>
        <w:t>SROs.</w:t>
      </w:r>
    </w:p>
    <w:p w:rsidR="005E5B48" w:rsidRPr="003948BA" w:rsidRDefault="005E5B48">
      <w:pPr>
        <w:pStyle w:val="BodyText"/>
        <w:spacing w:before="4"/>
      </w:pPr>
    </w:p>
    <w:p w:rsidR="005E5B48" w:rsidRPr="003948BA" w:rsidRDefault="00814043" w:rsidP="00A002A6">
      <w:pPr>
        <w:pStyle w:val="ListParagraph"/>
        <w:numPr>
          <w:ilvl w:val="0"/>
          <w:numId w:val="23"/>
        </w:numPr>
        <w:tabs>
          <w:tab w:val="left" w:pos="2001"/>
        </w:tabs>
        <w:spacing w:before="1"/>
        <w:ind w:right="1018"/>
        <w:jc w:val="both"/>
        <w:rPr>
          <w:sz w:val="20"/>
        </w:rPr>
      </w:pPr>
      <w:r w:rsidRPr="003948BA">
        <w:rPr>
          <w:sz w:val="20"/>
        </w:rPr>
        <w:t>Provident, Pension and Gratuity Funds constituted by organizations other than companies under Section 20 (h) of the Trusts Act 1882, (11 of</w:t>
      </w:r>
      <w:r w:rsidRPr="003948BA">
        <w:rPr>
          <w:spacing w:val="-24"/>
          <w:sz w:val="20"/>
        </w:rPr>
        <w:t xml:space="preserve"> </w:t>
      </w:r>
      <w:r w:rsidRPr="003948BA">
        <w:rPr>
          <w:sz w:val="20"/>
        </w:rPr>
        <w:t>1882).</w:t>
      </w:r>
    </w:p>
    <w:p w:rsidR="005E5B48" w:rsidRPr="003948BA" w:rsidRDefault="005E5B48">
      <w:pPr>
        <w:pStyle w:val="BodyText"/>
        <w:spacing w:before="1"/>
      </w:pPr>
    </w:p>
    <w:p w:rsidR="005E5B48" w:rsidRPr="003948BA" w:rsidRDefault="00814043" w:rsidP="00A002A6">
      <w:pPr>
        <w:pStyle w:val="ListParagraph"/>
        <w:numPr>
          <w:ilvl w:val="0"/>
          <w:numId w:val="23"/>
        </w:numPr>
        <w:tabs>
          <w:tab w:val="left" w:pos="2000"/>
          <w:tab w:val="left" w:pos="2001"/>
        </w:tabs>
        <w:rPr>
          <w:sz w:val="20"/>
        </w:rPr>
      </w:pPr>
      <w:r w:rsidRPr="003948BA">
        <w:rPr>
          <w:sz w:val="20"/>
        </w:rPr>
        <w:t>Insurance companies under the Insurance Ordinance,</w:t>
      </w:r>
      <w:r w:rsidRPr="003948BA">
        <w:rPr>
          <w:spacing w:val="-14"/>
          <w:sz w:val="20"/>
        </w:rPr>
        <w:t xml:space="preserve"> </w:t>
      </w:r>
      <w:r w:rsidRPr="003948BA">
        <w:rPr>
          <w:sz w:val="20"/>
        </w:rPr>
        <w:t>2000.</w:t>
      </w:r>
    </w:p>
    <w:p w:rsidR="005E5B48" w:rsidRPr="003948BA" w:rsidRDefault="005E5B48">
      <w:pPr>
        <w:pStyle w:val="BodyText"/>
        <w:spacing w:before="1"/>
      </w:pPr>
    </w:p>
    <w:p w:rsidR="005E5B48" w:rsidRPr="003948BA" w:rsidRDefault="00814043" w:rsidP="00A002A6">
      <w:pPr>
        <w:pStyle w:val="ListParagraph"/>
        <w:numPr>
          <w:ilvl w:val="0"/>
          <w:numId w:val="23"/>
        </w:numPr>
        <w:tabs>
          <w:tab w:val="left" w:pos="2000"/>
          <w:tab w:val="left" w:pos="2001"/>
        </w:tabs>
        <w:rPr>
          <w:sz w:val="20"/>
        </w:rPr>
      </w:pPr>
      <w:r w:rsidRPr="003948BA">
        <w:rPr>
          <w:sz w:val="20"/>
        </w:rPr>
        <w:t>Non-Profit Organization under Rule 213 (i) of the Income Tax Rules,</w:t>
      </w:r>
      <w:r w:rsidRPr="003948BA">
        <w:rPr>
          <w:spacing w:val="-34"/>
          <w:sz w:val="20"/>
        </w:rPr>
        <w:t xml:space="preserve"> </w:t>
      </w:r>
      <w:r w:rsidRPr="003948BA">
        <w:rPr>
          <w:sz w:val="20"/>
        </w:rPr>
        <w:t>2002.</w:t>
      </w:r>
    </w:p>
    <w:p w:rsidR="005E5B48" w:rsidRPr="003948BA" w:rsidRDefault="005E5B48">
      <w:pPr>
        <w:pStyle w:val="BodyText"/>
        <w:spacing w:before="10"/>
        <w:rPr>
          <w:sz w:val="19"/>
        </w:rPr>
      </w:pPr>
    </w:p>
    <w:p w:rsidR="005E5B48" w:rsidRDefault="00814043" w:rsidP="00A002A6">
      <w:pPr>
        <w:pStyle w:val="ListParagraph"/>
        <w:numPr>
          <w:ilvl w:val="0"/>
          <w:numId w:val="23"/>
        </w:numPr>
        <w:tabs>
          <w:tab w:val="left" w:pos="2000"/>
          <w:tab w:val="left" w:pos="2001"/>
        </w:tabs>
        <w:rPr>
          <w:sz w:val="20"/>
        </w:rPr>
      </w:pPr>
      <w:r w:rsidRPr="003948BA">
        <w:rPr>
          <w:sz w:val="20"/>
        </w:rPr>
        <w:t>Fund of</w:t>
      </w:r>
      <w:r w:rsidRPr="003948BA">
        <w:rPr>
          <w:spacing w:val="-5"/>
          <w:sz w:val="20"/>
        </w:rPr>
        <w:t xml:space="preserve"> </w:t>
      </w:r>
      <w:r w:rsidRPr="003948BA">
        <w:rPr>
          <w:sz w:val="20"/>
        </w:rPr>
        <w:t>Funds.</w:t>
      </w:r>
    </w:p>
    <w:p w:rsidR="00C569CC" w:rsidRPr="000355B0" w:rsidRDefault="00C569CC" w:rsidP="000355B0">
      <w:pPr>
        <w:pStyle w:val="ListParagraph"/>
        <w:rPr>
          <w:sz w:val="20"/>
        </w:rPr>
      </w:pPr>
    </w:p>
    <w:p w:rsidR="005E5B48" w:rsidRPr="003948BA" w:rsidRDefault="005E5B48">
      <w:pPr>
        <w:pStyle w:val="BodyText"/>
        <w:rPr>
          <w:sz w:val="22"/>
        </w:rPr>
      </w:pPr>
    </w:p>
    <w:p w:rsidR="00D16BEC" w:rsidRPr="003948BA" w:rsidRDefault="00D16BEC" w:rsidP="00A002A6">
      <w:pPr>
        <w:pStyle w:val="ListParagraph"/>
        <w:numPr>
          <w:ilvl w:val="3"/>
          <w:numId w:val="44"/>
        </w:numPr>
        <w:tabs>
          <w:tab w:val="left" w:pos="2000"/>
          <w:tab w:val="left" w:pos="2001"/>
        </w:tabs>
        <w:rPr>
          <w:b/>
          <w:sz w:val="20"/>
        </w:rPr>
      </w:pPr>
      <w:r w:rsidRPr="003948BA">
        <w:rPr>
          <w:b/>
          <w:sz w:val="20"/>
        </w:rPr>
        <w:t xml:space="preserve">For Al-Ameen Islamic Active </w:t>
      </w:r>
      <w:r w:rsidR="00D662E2">
        <w:rPr>
          <w:b/>
          <w:sz w:val="20"/>
        </w:rPr>
        <w:t xml:space="preserve">Allocation </w:t>
      </w:r>
      <w:r w:rsidRPr="003948BA">
        <w:rPr>
          <w:b/>
          <w:sz w:val="20"/>
        </w:rPr>
        <w:t>Plan</w:t>
      </w:r>
      <w:r w:rsidR="00C569CC">
        <w:rPr>
          <w:b/>
          <w:sz w:val="20"/>
        </w:rPr>
        <w:t>-</w:t>
      </w:r>
      <w:r w:rsidR="00D662E2">
        <w:rPr>
          <w:b/>
          <w:sz w:val="20"/>
        </w:rPr>
        <w:t>XI</w:t>
      </w:r>
      <w:r w:rsidR="00FB0549">
        <w:rPr>
          <w:b/>
          <w:sz w:val="20"/>
        </w:rPr>
        <w:t>V</w:t>
      </w:r>
      <w:r w:rsidR="00C569CC">
        <w:rPr>
          <w:b/>
          <w:sz w:val="20"/>
        </w:rPr>
        <w:t xml:space="preserve"> (</w:t>
      </w:r>
      <w:proofErr w:type="spellStart"/>
      <w:r w:rsidR="00C569CC">
        <w:rPr>
          <w:b/>
          <w:sz w:val="20"/>
        </w:rPr>
        <w:t>AIActAP</w:t>
      </w:r>
      <w:proofErr w:type="spellEnd"/>
      <w:r w:rsidR="00C569CC">
        <w:rPr>
          <w:b/>
          <w:sz w:val="20"/>
        </w:rPr>
        <w:t>-XIV)</w:t>
      </w:r>
    </w:p>
    <w:p w:rsidR="005E5B48" w:rsidRPr="003948BA" w:rsidRDefault="005E5B48" w:rsidP="00BB24F4">
      <w:pPr>
        <w:pStyle w:val="BodyText"/>
        <w:ind w:left="720" w:right="710"/>
        <w:rPr>
          <w:sz w:val="22"/>
        </w:rPr>
      </w:pPr>
    </w:p>
    <w:p w:rsidR="00D16BEC" w:rsidRPr="000355B0" w:rsidRDefault="00D16BEC" w:rsidP="00D16BEC">
      <w:pPr>
        <w:pStyle w:val="ListParagraph"/>
        <w:tabs>
          <w:tab w:val="left" w:pos="360"/>
        </w:tabs>
        <w:adjustRightInd w:val="0"/>
        <w:jc w:val="both"/>
        <w:rPr>
          <w:sz w:val="20"/>
        </w:rPr>
      </w:pPr>
      <w:r w:rsidRPr="003948BA">
        <w:tab/>
      </w:r>
      <w:r w:rsidRPr="003948BA">
        <w:tab/>
      </w:r>
      <w:r w:rsidRPr="000355B0">
        <w:rPr>
          <w:sz w:val="20"/>
        </w:rPr>
        <w:t xml:space="preserve">During the Initial </w:t>
      </w:r>
      <w:r w:rsidR="00D662E2" w:rsidRPr="000355B0">
        <w:rPr>
          <w:sz w:val="20"/>
        </w:rPr>
        <w:t xml:space="preserve">Offering </w:t>
      </w:r>
      <w:r w:rsidRPr="000355B0">
        <w:rPr>
          <w:sz w:val="20"/>
        </w:rPr>
        <w:t>Period the Units shall not be redeemed.</w:t>
      </w:r>
    </w:p>
    <w:p w:rsidR="00C569CC" w:rsidRPr="000355B0" w:rsidRDefault="00C569CC" w:rsidP="00D16BEC">
      <w:pPr>
        <w:pStyle w:val="ListParagraph"/>
        <w:tabs>
          <w:tab w:val="left" w:pos="360"/>
        </w:tabs>
        <w:adjustRightInd w:val="0"/>
        <w:jc w:val="both"/>
        <w:rPr>
          <w:sz w:val="20"/>
        </w:rPr>
      </w:pPr>
    </w:p>
    <w:p w:rsidR="00D16BEC" w:rsidRPr="000355B0" w:rsidRDefault="00D16BEC" w:rsidP="00A002A6">
      <w:pPr>
        <w:pStyle w:val="ListParagraph"/>
        <w:widowControl/>
        <w:numPr>
          <w:ilvl w:val="0"/>
          <w:numId w:val="45"/>
        </w:numPr>
        <w:tabs>
          <w:tab w:val="left" w:pos="360"/>
        </w:tabs>
        <w:adjustRightInd w:val="0"/>
        <w:ind w:left="2520"/>
        <w:contextualSpacing/>
        <w:jc w:val="both"/>
        <w:rPr>
          <w:sz w:val="20"/>
        </w:rPr>
      </w:pPr>
      <w:r w:rsidRPr="000355B0">
        <w:rPr>
          <w:sz w:val="20"/>
          <w:szCs w:val="24"/>
        </w:rPr>
        <w:t xml:space="preserve">After the Initial </w:t>
      </w:r>
      <w:r w:rsidR="00D662E2" w:rsidRPr="000355B0">
        <w:rPr>
          <w:sz w:val="20"/>
          <w:szCs w:val="24"/>
        </w:rPr>
        <w:t xml:space="preserve">Offering </w:t>
      </w:r>
      <w:r w:rsidRPr="000355B0">
        <w:rPr>
          <w:sz w:val="20"/>
          <w:szCs w:val="24"/>
        </w:rPr>
        <w:t>Period all Unit Holders are eligible to redeem the said Units (subject to applicable Contingent Load as specified in Annexure B</w:t>
      </w:r>
      <w:r w:rsidR="00FB0549" w:rsidRPr="000355B0">
        <w:rPr>
          <w:sz w:val="20"/>
          <w:szCs w:val="24"/>
        </w:rPr>
        <w:t xml:space="preserve"> of the respective Allocation Plan</w:t>
      </w:r>
      <w:r w:rsidRPr="000355B0">
        <w:rPr>
          <w:sz w:val="20"/>
          <w:szCs w:val="24"/>
        </w:rPr>
        <w:t>).</w:t>
      </w:r>
    </w:p>
    <w:p w:rsidR="004F5E92" w:rsidRPr="000355B0" w:rsidRDefault="00D16BEC" w:rsidP="00A002A6">
      <w:pPr>
        <w:pStyle w:val="ListParagraph"/>
        <w:widowControl/>
        <w:numPr>
          <w:ilvl w:val="0"/>
          <w:numId w:val="45"/>
        </w:numPr>
        <w:tabs>
          <w:tab w:val="left" w:pos="360"/>
        </w:tabs>
        <w:adjustRightInd w:val="0"/>
        <w:ind w:left="2520"/>
        <w:contextualSpacing/>
        <w:jc w:val="both"/>
        <w:rPr>
          <w:sz w:val="20"/>
          <w:szCs w:val="24"/>
        </w:rPr>
      </w:pPr>
      <w:r w:rsidRPr="000355B0">
        <w:rPr>
          <w:sz w:val="20"/>
          <w:szCs w:val="24"/>
        </w:rPr>
        <w:t xml:space="preserve">Partial redemption during the </w:t>
      </w:r>
      <w:r w:rsidR="00C569CC" w:rsidRPr="000355B0">
        <w:rPr>
          <w:sz w:val="20"/>
          <w:szCs w:val="24"/>
        </w:rPr>
        <w:t>L</w:t>
      </w:r>
      <w:r w:rsidRPr="000355B0">
        <w:rPr>
          <w:sz w:val="20"/>
          <w:szCs w:val="24"/>
        </w:rPr>
        <w:t>ife of the Plan will be permitted (subject to applicable Contingent load as specified in Annexure B</w:t>
      </w:r>
      <w:r w:rsidR="00C569CC" w:rsidRPr="000355B0">
        <w:rPr>
          <w:sz w:val="20"/>
          <w:szCs w:val="24"/>
        </w:rPr>
        <w:t xml:space="preserve"> of the respective Allocation Plan</w:t>
      </w:r>
      <w:r w:rsidRPr="000355B0">
        <w:rPr>
          <w:sz w:val="20"/>
          <w:szCs w:val="24"/>
        </w:rPr>
        <w:t xml:space="preserve">) </w:t>
      </w:r>
    </w:p>
    <w:p w:rsidR="001E640E" w:rsidRPr="003948BA" w:rsidRDefault="001E640E" w:rsidP="001E640E">
      <w:pPr>
        <w:pStyle w:val="ListParagraph"/>
        <w:widowControl/>
        <w:tabs>
          <w:tab w:val="left" w:pos="360"/>
        </w:tabs>
        <w:adjustRightInd w:val="0"/>
        <w:ind w:left="2520" w:firstLine="0"/>
        <w:contextualSpacing/>
        <w:jc w:val="both"/>
        <w:rPr>
          <w:szCs w:val="24"/>
        </w:rPr>
      </w:pPr>
    </w:p>
    <w:p w:rsidR="005E5B48" w:rsidRPr="003948BA" w:rsidRDefault="00814043">
      <w:pPr>
        <w:pStyle w:val="Heading5"/>
        <w:spacing w:before="162"/>
        <w:ind w:left="1280" w:firstLine="0"/>
        <w:rPr>
          <w:sz w:val="22"/>
        </w:rPr>
      </w:pPr>
      <w:r w:rsidRPr="003948BA">
        <w:rPr>
          <w:sz w:val="22"/>
        </w:rPr>
        <w:t>How can Units be purchased?</w:t>
      </w:r>
    </w:p>
    <w:p w:rsidR="005E5B48" w:rsidRPr="003948BA" w:rsidRDefault="005E5B48">
      <w:pPr>
        <w:pStyle w:val="BodyText"/>
        <w:spacing w:before="8"/>
        <w:rPr>
          <w:b/>
        </w:rPr>
      </w:pPr>
    </w:p>
    <w:p w:rsidR="005E5B48" w:rsidRPr="003948BA" w:rsidRDefault="00814043" w:rsidP="00A002A6">
      <w:pPr>
        <w:pStyle w:val="ListParagraph"/>
        <w:numPr>
          <w:ilvl w:val="2"/>
          <w:numId w:val="22"/>
        </w:numPr>
        <w:tabs>
          <w:tab w:val="left" w:pos="2000"/>
          <w:tab w:val="left" w:pos="2001"/>
        </w:tabs>
        <w:rPr>
          <w:b/>
          <w:sz w:val="20"/>
        </w:rPr>
      </w:pPr>
      <w:r w:rsidRPr="003948BA">
        <w:rPr>
          <w:b/>
          <w:sz w:val="20"/>
        </w:rPr>
        <w:t>Account Opening</w:t>
      </w:r>
      <w:r w:rsidRPr="003948BA">
        <w:rPr>
          <w:b/>
          <w:spacing w:val="-11"/>
          <w:sz w:val="20"/>
        </w:rPr>
        <w:t xml:space="preserve"> </w:t>
      </w:r>
      <w:r w:rsidRPr="003948BA">
        <w:rPr>
          <w:b/>
          <w:sz w:val="20"/>
        </w:rPr>
        <w:t>Procedure</w:t>
      </w:r>
    </w:p>
    <w:p w:rsidR="005E5B48" w:rsidRPr="003948BA" w:rsidRDefault="005E5B48">
      <w:pPr>
        <w:pStyle w:val="BodyText"/>
        <w:spacing w:before="7"/>
        <w:rPr>
          <w:b/>
          <w:sz w:val="27"/>
        </w:rPr>
      </w:pPr>
    </w:p>
    <w:p w:rsidR="005E5B48" w:rsidRPr="003948BA" w:rsidRDefault="00814043">
      <w:pPr>
        <w:pStyle w:val="BodyText"/>
        <w:ind w:left="2000" w:right="1000"/>
        <w:jc w:val="both"/>
      </w:pPr>
      <w:r w:rsidRPr="003948BA">
        <w:t xml:space="preserve">The procedure given below is designed for paper-based transactions. The Management Company at a later date after seeking approval of the Commission may </w:t>
      </w:r>
      <w:r w:rsidRPr="003948BA">
        <w:lastRenderedPageBreak/>
        <w:t>introduce electronic/Internet based options for the transactions.</w:t>
      </w:r>
    </w:p>
    <w:p w:rsidR="005E5B48" w:rsidRPr="003948BA" w:rsidRDefault="005E5B48">
      <w:pPr>
        <w:pStyle w:val="BodyText"/>
        <w:spacing w:before="4"/>
      </w:pPr>
    </w:p>
    <w:p w:rsidR="005E5B48" w:rsidRPr="003948BA" w:rsidRDefault="00814043" w:rsidP="00A002A6">
      <w:pPr>
        <w:pStyle w:val="ListParagraph"/>
        <w:numPr>
          <w:ilvl w:val="0"/>
          <w:numId w:val="21"/>
        </w:numPr>
        <w:tabs>
          <w:tab w:val="left" w:pos="2001"/>
        </w:tabs>
        <w:spacing w:before="1"/>
        <w:ind w:right="1012"/>
        <w:jc w:val="both"/>
        <w:rPr>
          <w:sz w:val="20"/>
        </w:rPr>
      </w:pPr>
      <w:r w:rsidRPr="003948BA">
        <w:rPr>
          <w:sz w:val="20"/>
        </w:rPr>
        <w:t>Before purchasing Units of an Allocation Plan under the Fund an investor must open an account with Management Company using the Account Opening Form (Form 01) attached in Annexure D of this Offering</w:t>
      </w:r>
      <w:r w:rsidRPr="003948BA">
        <w:rPr>
          <w:spacing w:val="-10"/>
          <w:sz w:val="20"/>
        </w:rPr>
        <w:t xml:space="preserve"> </w:t>
      </w:r>
      <w:r w:rsidRPr="003948BA">
        <w:rPr>
          <w:sz w:val="20"/>
        </w:rPr>
        <w:t>Document.</w:t>
      </w:r>
    </w:p>
    <w:p w:rsidR="00765E07" w:rsidRPr="003948BA" w:rsidRDefault="00765E07" w:rsidP="00765E07">
      <w:pPr>
        <w:pStyle w:val="ListParagraph"/>
        <w:tabs>
          <w:tab w:val="left" w:pos="2001"/>
        </w:tabs>
        <w:spacing w:before="1"/>
        <w:ind w:left="2000" w:right="1012" w:firstLine="0"/>
        <w:jc w:val="both"/>
        <w:rPr>
          <w:sz w:val="20"/>
        </w:rPr>
      </w:pPr>
    </w:p>
    <w:p w:rsidR="005E5B48" w:rsidRPr="003948BA" w:rsidRDefault="00814043" w:rsidP="00A002A6">
      <w:pPr>
        <w:pStyle w:val="ListParagraph"/>
        <w:numPr>
          <w:ilvl w:val="0"/>
          <w:numId w:val="21"/>
        </w:numPr>
        <w:tabs>
          <w:tab w:val="left" w:pos="2001"/>
        </w:tabs>
        <w:ind w:right="1025"/>
        <w:jc w:val="both"/>
        <w:rPr>
          <w:sz w:val="20"/>
        </w:rPr>
      </w:pPr>
      <w:r w:rsidRPr="003948BA">
        <w:rPr>
          <w:sz w:val="20"/>
        </w:rPr>
        <w:t xml:space="preserve">In case of individuals, a photocopy of the Computerized National Identity Card (CNIC), NICOP or Passport </w:t>
      </w:r>
      <w:proofErr w:type="spellStart"/>
      <w:r w:rsidRPr="003948BA">
        <w:rPr>
          <w:sz w:val="20"/>
        </w:rPr>
        <w:t>etc</w:t>
      </w:r>
      <w:proofErr w:type="spellEnd"/>
      <w:r w:rsidRPr="003948BA">
        <w:rPr>
          <w:sz w:val="20"/>
        </w:rPr>
        <w:t xml:space="preserve"> of the applicant or any other form of identification acceptable to the Management Company needs to be</w:t>
      </w:r>
      <w:r w:rsidRPr="003948BA">
        <w:rPr>
          <w:spacing w:val="-21"/>
          <w:sz w:val="20"/>
        </w:rPr>
        <w:t xml:space="preserve"> </w:t>
      </w:r>
      <w:r w:rsidRPr="003948BA">
        <w:rPr>
          <w:sz w:val="20"/>
        </w:rPr>
        <w:t>furnished</w:t>
      </w:r>
      <w:r w:rsidR="005A71B8">
        <w:rPr>
          <w:sz w:val="20"/>
        </w:rPr>
        <w:t>.</w:t>
      </w:r>
    </w:p>
    <w:p w:rsidR="005E5B48" w:rsidRPr="003948BA" w:rsidRDefault="005E5B48">
      <w:pPr>
        <w:pStyle w:val="BodyText"/>
        <w:spacing w:before="5"/>
        <w:rPr>
          <w:sz w:val="19"/>
        </w:rPr>
      </w:pPr>
    </w:p>
    <w:p w:rsidR="005E5B48" w:rsidRPr="003948BA" w:rsidRDefault="00814043" w:rsidP="00A002A6">
      <w:pPr>
        <w:pStyle w:val="ListParagraph"/>
        <w:numPr>
          <w:ilvl w:val="0"/>
          <w:numId w:val="21"/>
        </w:numPr>
        <w:tabs>
          <w:tab w:val="left" w:pos="2001"/>
        </w:tabs>
        <w:spacing w:before="1"/>
        <w:ind w:right="1021"/>
        <w:jc w:val="both"/>
        <w:rPr>
          <w:sz w:val="20"/>
        </w:rPr>
      </w:pPr>
      <w:r w:rsidRPr="003948BA">
        <w:rPr>
          <w:sz w:val="20"/>
        </w:rPr>
        <w:t>In case of a body corporate or a registered society or a trust the following documents would be</w:t>
      </w:r>
      <w:r w:rsidRPr="003948BA">
        <w:rPr>
          <w:spacing w:val="-10"/>
          <w:sz w:val="20"/>
        </w:rPr>
        <w:t xml:space="preserve"> </w:t>
      </w:r>
      <w:r w:rsidRPr="003948BA">
        <w:rPr>
          <w:sz w:val="20"/>
        </w:rPr>
        <w:t>required,</w:t>
      </w:r>
    </w:p>
    <w:p w:rsidR="005E5B48" w:rsidRPr="003948BA" w:rsidRDefault="00814043" w:rsidP="00A002A6">
      <w:pPr>
        <w:pStyle w:val="ListParagraph"/>
        <w:numPr>
          <w:ilvl w:val="1"/>
          <w:numId w:val="21"/>
        </w:numPr>
        <w:tabs>
          <w:tab w:val="left" w:pos="2543"/>
        </w:tabs>
        <w:spacing w:before="118"/>
        <w:ind w:right="1025" w:hanging="271"/>
        <w:jc w:val="both"/>
        <w:rPr>
          <w:sz w:val="20"/>
        </w:rPr>
      </w:pPr>
      <w:r w:rsidRPr="003948BA">
        <w:rPr>
          <w:sz w:val="20"/>
        </w:rPr>
        <w:t>Duly certified copy of the memorandum and articles of association/ Charter/ Byelaws or rules and</w:t>
      </w:r>
      <w:r w:rsidRPr="003948BA">
        <w:rPr>
          <w:spacing w:val="-11"/>
          <w:sz w:val="20"/>
        </w:rPr>
        <w:t xml:space="preserve"> </w:t>
      </w:r>
      <w:r w:rsidRPr="003948BA">
        <w:rPr>
          <w:sz w:val="20"/>
        </w:rPr>
        <w:t>regulations;</w:t>
      </w:r>
    </w:p>
    <w:p w:rsidR="005E5B48" w:rsidRPr="003948BA" w:rsidRDefault="00814043" w:rsidP="00A002A6">
      <w:pPr>
        <w:pStyle w:val="ListParagraph"/>
        <w:numPr>
          <w:ilvl w:val="1"/>
          <w:numId w:val="21"/>
        </w:numPr>
        <w:tabs>
          <w:tab w:val="left" w:pos="2543"/>
        </w:tabs>
        <w:spacing w:before="121"/>
        <w:ind w:right="1021" w:hanging="290"/>
        <w:jc w:val="both"/>
        <w:rPr>
          <w:sz w:val="20"/>
        </w:rPr>
      </w:pPr>
      <w:r w:rsidRPr="003948BA">
        <w:rPr>
          <w:sz w:val="20"/>
        </w:rPr>
        <w:t>Duly certified copy of power of attorney and/or relevant resolution of the board of directors delegating any of its officers to invest the Funds and/ or to realize the Investment</w:t>
      </w:r>
      <w:r w:rsidRPr="003948BA">
        <w:rPr>
          <w:spacing w:val="-8"/>
          <w:sz w:val="20"/>
        </w:rPr>
        <w:t xml:space="preserve"> </w:t>
      </w:r>
      <w:r w:rsidRPr="003948BA">
        <w:rPr>
          <w:sz w:val="20"/>
        </w:rPr>
        <w:t>and;</w:t>
      </w:r>
    </w:p>
    <w:p w:rsidR="005E5B48" w:rsidRPr="003948BA" w:rsidRDefault="00814043" w:rsidP="00A002A6">
      <w:pPr>
        <w:pStyle w:val="ListParagraph"/>
        <w:numPr>
          <w:ilvl w:val="1"/>
          <w:numId w:val="21"/>
        </w:numPr>
        <w:tabs>
          <w:tab w:val="left" w:pos="2543"/>
        </w:tabs>
        <w:spacing w:before="116"/>
        <w:ind w:right="1014" w:hanging="314"/>
        <w:jc w:val="both"/>
        <w:rPr>
          <w:sz w:val="20"/>
        </w:rPr>
      </w:pPr>
      <w:r w:rsidRPr="003948BA">
        <w:rPr>
          <w:sz w:val="20"/>
        </w:rPr>
        <w:t>Duly certified copy of the Computerized National Identity Card (CNIC) of the officer to whom the authority has been</w:t>
      </w:r>
      <w:r w:rsidRPr="003948BA">
        <w:rPr>
          <w:spacing w:val="-19"/>
          <w:sz w:val="20"/>
        </w:rPr>
        <w:t xml:space="preserve"> </w:t>
      </w:r>
      <w:r w:rsidRPr="003948BA">
        <w:rPr>
          <w:sz w:val="20"/>
        </w:rPr>
        <w:t>delegated.</w:t>
      </w:r>
    </w:p>
    <w:p w:rsidR="005E5B48" w:rsidRPr="003948BA" w:rsidRDefault="005E5B48">
      <w:pPr>
        <w:pStyle w:val="BodyText"/>
        <w:spacing w:before="4"/>
      </w:pPr>
    </w:p>
    <w:p w:rsidR="005E5B48" w:rsidRPr="003948BA" w:rsidRDefault="00814043" w:rsidP="00A002A6">
      <w:pPr>
        <w:pStyle w:val="ListParagraph"/>
        <w:numPr>
          <w:ilvl w:val="0"/>
          <w:numId w:val="21"/>
        </w:numPr>
        <w:tabs>
          <w:tab w:val="left" w:pos="2001"/>
        </w:tabs>
        <w:spacing w:before="1"/>
        <w:ind w:right="1006"/>
        <w:jc w:val="both"/>
        <w:rPr>
          <w:sz w:val="20"/>
        </w:rPr>
      </w:pPr>
      <w:r w:rsidRPr="003948BA">
        <w:rPr>
          <w:sz w:val="20"/>
        </w:rPr>
        <w:t>In case of existing Unit Holders, if any of the documents (in a-c above) have previously been submitted with the Management Company and/or Transfer Agent, fresh submission of documents will not be required provided that submitted documents are acceptable to Management Company. However, the account number must be provided to facilitate</w:t>
      </w:r>
      <w:r w:rsidRPr="003948BA">
        <w:rPr>
          <w:spacing w:val="-8"/>
          <w:sz w:val="20"/>
        </w:rPr>
        <w:t xml:space="preserve"> </w:t>
      </w:r>
      <w:r w:rsidRPr="003948BA">
        <w:rPr>
          <w:sz w:val="20"/>
        </w:rPr>
        <w:t>linking.</w:t>
      </w:r>
    </w:p>
    <w:p w:rsidR="005E5B48" w:rsidRPr="003948BA" w:rsidRDefault="005E5B48">
      <w:pPr>
        <w:pStyle w:val="BodyText"/>
        <w:spacing w:before="2"/>
      </w:pPr>
    </w:p>
    <w:p w:rsidR="005E5B48" w:rsidRPr="003948BA" w:rsidRDefault="00814043">
      <w:pPr>
        <w:pStyle w:val="BodyText"/>
        <w:ind w:left="2041" w:right="1020"/>
        <w:jc w:val="both"/>
      </w:pPr>
      <w:r w:rsidRPr="003948BA">
        <w:t>Any change of name or address of any unit holder as entered in the Register shall forthwith notified in writing by relevant unit holder to the distributor company or transfer</w:t>
      </w:r>
      <w:r w:rsidRPr="003948BA">
        <w:rPr>
          <w:spacing w:val="-2"/>
        </w:rPr>
        <w:t xml:space="preserve"> </w:t>
      </w:r>
      <w:r w:rsidRPr="003948BA">
        <w:t>agent.</w:t>
      </w:r>
    </w:p>
    <w:p w:rsidR="005E5B48" w:rsidRPr="003948BA" w:rsidRDefault="005E5B48">
      <w:pPr>
        <w:pStyle w:val="BodyText"/>
        <w:spacing w:before="11"/>
        <w:rPr>
          <w:sz w:val="19"/>
        </w:rPr>
      </w:pPr>
    </w:p>
    <w:p w:rsidR="005E5B48" w:rsidRPr="003948BA" w:rsidRDefault="00814043" w:rsidP="00A002A6">
      <w:pPr>
        <w:pStyle w:val="ListParagraph"/>
        <w:numPr>
          <w:ilvl w:val="0"/>
          <w:numId w:val="21"/>
        </w:numPr>
        <w:tabs>
          <w:tab w:val="left" w:pos="2001"/>
        </w:tabs>
        <w:ind w:right="1024"/>
        <w:jc w:val="both"/>
        <w:rPr>
          <w:sz w:val="20"/>
        </w:rPr>
      </w:pPr>
      <w:r w:rsidRPr="003948BA">
        <w:rPr>
          <w:sz w:val="20"/>
        </w:rPr>
        <w:t>The Distribution Company and/or Management Company will be entitled to verify the particulars given in the Account Opening Form. In case of any incorrect information, the application may be rejected if the applicant fails to rectify the</w:t>
      </w:r>
      <w:r w:rsidRPr="003948BA">
        <w:rPr>
          <w:spacing w:val="-42"/>
          <w:sz w:val="20"/>
        </w:rPr>
        <w:t xml:space="preserve"> </w:t>
      </w:r>
      <w:r w:rsidRPr="003948BA">
        <w:rPr>
          <w:sz w:val="20"/>
        </w:rPr>
        <w:t>discrepancy.</w:t>
      </w:r>
    </w:p>
    <w:p w:rsidR="005E5B48" w:rsidRPr="003948BA" w:rsidRDefault="005E5B48">
      <w:pPr>
        <w:pStyle w:val="BodyText"/>
        <w:spacing w:before="11"/>
        <w:rPr>
          <w:sz w:val="19"/>
        </w:rPr>
      </w:pPr>
    </w:p>
    <w:p w:rsidR="005E5B48" w:rsidRPr="003948BA" w:rsidRDefault="00814043" w:rsidP="00A002A6">
      <w:pPr>
        <w:pStyle w:val="ListParagraph"/>
        <w:numPr>
          <w:ilvl w:val="0"/>
          <w:numId w:val="21"/>
        </w:numPr>
        <w:tabs>
          <w:tab w:val="left" w:pos="2001"/>
        </w:tabs>
        <w:ind w:right="1006"/>
        <w:jc w:val="both"/>
        <w:rPr>
          <w:sz w:val="20"/>
        </w:rPr>
      </w:pPr>
      <w:r w:rsidRPr="003948BA">
        <w:rPr>
          <w:sz w:val="20"/>
        </w:rPr>
        <w:t>If subsequent to receipt of the application by the Distributor, but prior to issue of the Units, the application is found by the Registrar or the Distributor to be incomplete or incorrect in any material manner, the Registrar or the Distributor will advise the applicant in writing to remove the discrepancy, in the meanwhile the application will be held in abeyance for fifteen days and in the event the discrepancy is not removed in the said fifteen days, the amount will be refunded without any interest or</w:t>
      </w:r>
      <w:r w:rsidRPr="003948BA">
        <w:rPr>
          <w:spacing w:val="38"/>
          <w:sz w:val="20"/>
        </w:rPr>
        <w:t xml:space="preserve"> </w:t>
      </w:r>
      <w:r w:rsidRPr="003948BA">
        <w:rPr>
          <w:sz w:val="20"/>
        </w:rPr>
        <w:t>mark-up.</w:t>
      </w:r>
    </w:p>
    <w:p w:rsidR="005E5B48" w:rsidRPr="003948BA" w:rsidRDefault="005E5B48">
      <w:pPr>
        <w:pStyle w:val="BodyText"/>
        <w:spacing w:before="2"/>
        <w:rPr>
          <w:sz w:val="28"/>
        </w:rPr>
      </w:pPr>
    </w:p>
    <w:p w:rsidR="005E5B48" w:rsidRPr="003948BA" w:rsidRDefault="00814043">
      <w:pPr>
        <w:pStyle w:val="BodyText"/>
        <w:ind w:left="2000" w:right="1014"/>
        <w:jc w:val="both"/>
      </w:pPr>
      <w:r w:rsidRPr="003948BA">
        <w:t>However, in the event Units have been issued and a material discrepancy is discovered subsequent to that, the Registrar or the Distributor will advise the applicant in writing to remove the discrepancy within fifteen days and if the investor, in the opinion of the Registrar, fails to remove the discrepancy without good cause, the Units shall be redeemed at the Redemption Price fixed on the date the Units are so redeemed. The Unit Holder shall not be entitled to any payment beyond the redemption value so</w:t>
      </w:r>
      <w:r w:rsidRPr="003948BA">
        <w:rPr>
          <w:spacing w:val="-9"/>
        </w:rPr>
        <w:t xml:space="preserve"> </w:t>
      </w:r>
      <w:r w:rsidRPr="003948BA">
        <w:t>determined.</w:t>
      </w:r>
    </w:p>
    <w:p w:rsidR="005E5B48" w:rsidRPr="003948BA" w:rsidRDefault="005E5B48">
      <w:pPr>
        <w:pStyle w:val="BodyText"/>
        <w:spacing w:before="2"/>
      </w:pPr>
    </w:p>
    <w:p w:rsidR="005E5B48" w:rsidRPr="003948BA" w:rsidRDefault="00814043" w:rsidP="00A002A6">
      <w:pPr>
        <w:pStyle w:val="ListParagraph"/>
        <w:numPr>
          <w:ilvl w:val="0"/>
          <w:numId w:val="21"/>
        </w:numPr>
        <w:tabs>
          <w:tab w:val="left" w:pos="2001"/>
        </w:tabs>
        <w:ind w:right="1018"/>
        <w:jc w:val="both"/>
        <w:rPr>
          <w:sz w:val="20"/>
        </w:rPr>
      </w:pPr>
      <w:r w:rsidRPr="003948BA">
        <w:rPr>
          <w:sz w:val="20"/>
        </w:rPr>
        <w:t>The Investor Account Opening Form can be lodged with any Distributor or directly lodged with the Management Company. No other person (including Investment Facilitators) is authorized to accept the forms or</w:t>
      </w:r>
      <w:r w:rsidRPr="003948BA">
        <w:rPr>
          <w:spacing w:val="-16"/>
          <w:sz w:val="20"/>
        </w:rPr>
        <w:t xml:space="preserve"> </w:t>
      </w:r>
      <w:r w:rsidRPr="003948BA">
        <w:rPr>
          <w:sz w:val="20"/>
        </w:rPr>
        <w:t>payment.</w:t>
      </w:r>
    </w:p>
    <w:p w:rsidR="005E5B48" w:rsidRPr="003948BA" w:rsidRDefault="005E5B48">
      <w:pPr>
        <w:pStyle w:val="BodyText"/>
        <w:spacing w:before="1"/>
      </w:pPr>
    </w:p>
    <w:p w:rsidR="005E5B48" w:rsidRPr="003948BA" w:rsidRDefault="00814043" w:rsidP="00A002A6">
      <w:pPr>
        <w:pStyle w:val="ListParagraph"/>
        <w:numPr>
          <w:ilvl w:val="0"/>
          <w:numId w:val="21"/>
        </w:numPr>
        <w:tabs>
          <w:tab w:val="left" w:pos="2001"/>
        </w:tabs>
        <w:spacing w:before="1"/>
        <w:ind w:right="1018"/>
        <w:jc w:val="both"/>
        <w:rPr>
          <w:sz w:val="20"/>
        </w:rPr>
      </w:pPr>
      <w:r w:rsidRPr="003948BA">
        <w:rPr>
          <w:sz w:val="20"/>
        </w:rPr>
        <w:t>The Management Company will make arrangements, from time to time, for receiving Account Opening Forms from outside Pakistan and will disclose these arrangements through its website and its Distributors and agents outside</w:t>
      </w:r>
      <w:r w:rsidRPr="003948BA">
        <w:rPr>
          <w:spacing w:val="-7"/>
          <w:sz w:val="20"/>
        </w:rPr>
        <w:t xml:space="preserve"> </w:t>
      </w:r>
      <w:r w:rsidRPr="003948BA">
        <w:rPr>
          <w:sz w:val="20"/>
        </w:rPr>
        <w:t>Pakistan.</w:t>
      </w:r>
    </w:p>
    <w:p w:rsidR="005E5B48" w:rsidRPr="003948BA" w:rsidRDefault="005E5B48">
      <w:pPr>
        <w:pStyle w:val="BodyText"/>
        <w:spacing w:before="3"/>
      </w:pPr>
    </w:p>
    <w:p w:rsidR="005E5B48" w:rsidRPr="003948BA" w:rsidRDefault="00814043" w:rsidP="00A002A6">
      <w:pPr>
        <w:pStyle w:val="Heading5"/>
        <w:numPr>
          <w:ilvl w:val="2"/>
          <w:numId w:val="22"/>
        </w:numPr>
        <w:tabs>
          <w:tab w:val="left" w:pos="2000"/>
          <w:tab w:val="left" w:pos="2001"/>
        </w:tabs>
        <w:spacing w:before="1"/>
      </w:pPr>
      <w:r w:rsidRPr="003948BA">
        <w:t>Joint</w:t>
      </w:r>
      <w:r w:rsidRPr="003948BA">
        <w:rPr>
          <w:spacing w:val="-5"/>
        </w:rPr>
        <w:t xml:space="preserve"> </w:t>
      </w:r>
      <w:r w:rsidRPr="003948BA">
        <w:t>Application</w:t>
      </w:r>
    </w:p>
    <w:p w:rsidR="005E5B48" w:rsidRPr="003948BA" w:rsidRDefault="005E5B48">
      <w:pPr>
        <w:pStyle w:val="BodyText"/>
        <w:spacing w:before="9"/>
        <w:rPr>
          <w:b/>
          <w:sz w:val="27"/>
        </w:rPr>
      </w:pPr>
    </w:p>
    <w:p w:rsidR="005E5B48" w:rsidRPr="003948BA" w:rsidRDefault="00814043" w:rsidP="00A002A6">
      <w:pPr>
        <w:pStyle w:val="ListParagraph"/>
        <w:numPr>
          <w:ilvl w:val="0"/>
          <w:numId w:val="20"/>
        </w:numPr>
        <w:tabs>
          <w:tab w:val="left" w:pos="2001"/>
        </w:tabs>
        <w:ind w:right="1016"/>
        <w:jc w:val="both"/>
        <w:rPr>
          <w:sz w:val="20"/>
        </w:rPr>
      </w:pPr>
      <w:r w:rsidRPr="003948BA">
        <w:rPr>
          <w:sz w:val="20"/>
        </w:rPr>
        <w:t xml:space="preserve">Joint application can be made by up to four applicants. Such persons shall be deemed </w:t>
      </w:r>
      <w:r w:rsidRPr="003948BA">
        <w:rPr>
          <w:sz w:val="20"/>
        </w:rPr>
        <w:lastRenderedPageBreak/>
        <w:t>to hold Units on first holder basis. However, each person must sign the Account Opening Form and submit a copy of Computerized National Identity Card, NICOP, Passport and other identification</w:t>
      </w:r>
      <w:r w:rsidRPr="003948BA">
        <w:rPr>
          <w:spacing w:val="-7"/>
          <w:sz w:val="20"/>
        </w:rPr>
        <w:t xml:space="preserve"> </w:t>
      </w:r>
      <w:r w:rsidRPr="003948BA">
        <w:rPr>
          <w:sz w:val="20"/>
        </w:rPr>
        <w:t>document.</w:t>
      </w:r>
    </w:p>
    <w:p w:rsidR="005E5B48" w:rsidRPr="003948BA" w:rsidRDefault="005E5B48">
      <w:pPr>
        <w:pStyle w:val="BodyText"/>
        <w:spacing w:before="2"/>
      </w:pPr>
    </w:p>
    <w:p w:rsidR="005E5B48" w:rsidRPr="003948BA" w:rsidRDefault="00814043" w:rsidP="00A002A6">
      <w:pPr>
        <w:pStyle w:val="ListParagraph"/>
        <w:numPr>
          <w:ilvl w:val="0"/>
          <w:numId w:val="20"/>
        </w:numPr>
        <w:tabs>
          <w:tab w:val="left" w:pos="2001"/>
        </w:tabs>
        <w:ind w:right="1021"/>
        <w:jc w:val="both"/>
        <w:rPr>
          <w:sz w:val="20"/>
        </w:rPr>
      </w:pPr>
      <w:r w:rsidRPr="003948BA">
        <w:rPr>
          <w:sz w:val="20"/>
        </w:rPr>
        <w:t xml:space="preserve">The first named Holder shall receive all notices and correspondence with respect to the account, as well as proceeds of any redemption, or dividend payments. Such </w:t>
      </w:r>
      <w:proofErr w:type="spellStart"/>
      <w:r w:rsidRPr="003948BA">
        <w:rPr>
          <w:sz w:val="20"/>
        </w:rPr>
        <w:t>person‟s</w:t>
      </w:r>
      <w:proofErr w:type="spellEnd"/>
      <w:r w:rsidRPr="003948BA">
        <w:rPr>
          <w:sz w:val="20"/>
        </w:rPr>
        <w:t xml:space="preserve"> receipt or payment into the </w:t>
      </w:r>
      <w:proofErr w:type="spellStart"/>
      <w:r w:rsidRPr="003948BA">
        <w:rPr>
          <w:sz w:val="20"/>
        </w:rPr>
        <w:t>person‟s</w:t>
      </w:r>
      <w:proofErr w:type="spellEnd"/>
      <w:r w:rsidRPr="003948BA">
        <w:rPr>
          <w:sz w:val="20"/>
        </w:rPr>
        <w:t xml:space="preserve"> designated bank account shall be considered</w:t>
      </w:r>
      <w:r w:rsidRPr="003948BA">
        <w:rPr>
          <w:spacing w:val="33"/>
          <w:sz w:val="20"/>
        </w:rPr>
        <w:t xml:space="preserve"> </w:t>
      </w:r>
      <w:r w:rsidRPr="003948BA">
        <w:rPr>
          <w:sz w:val="20"/>
        </w:rPr>
        <w:t>as</w:t>
      </w:r>
      <w:r w:rsidRPr="003948BA">
        <w:rPr>
          <w:spacing w:val="35"/>
          <w:sz w:val="20"/>
        </w:rPr>
        <w:t xml:space="preserve"> </w:t>
      </w:r>
      <w:r w:rsidRPr="003948BA">
        <w:rPr>
          <w:sz w:val="20"/>
        </w:rPr>
        <w:t>a</w:t>
      </w:r>
      <w:r w:rsidRPr="003948BA">
        <w:rPr>
          <w:spacing w:val="36"/>
          <w:sz w:val="20"/>
        </w:rPr>
        <w:t xml:space="preserve"> </w:t>
      </w:r>
      <w:r w:rsidRPr="003948BA">
        <w:rPr>
          <w:sz w:val="20"/>
        </w:rPr>
        <w:t>valid</w:t>
      </w:r>
      <w:r w:rsidRPr="003948BA">
        <w:rPr>
          <w:spacing w:val="33"/>
          <w:sz w:val="20"/>
        </w:rPr>
        <w:t xml:space="preserve"> </w:t>
      </w:r>
      <w:r w:rsidRPr="003948BA">
        <w:rPr>
          <w:sz w:val="20"/>
        </w:rPr>
        <w:t>discharge</w:t>
      </w:r>
      <w:r w:rsidRPr="003948BA">
        <w:rPr>
          <w:spacing w:val="35"/>
          <w:sz w:val="20"/>
        </w:rPr>
        <w:t xml:space="preserve"> </w:t>
      </w:r>
      <w:r w:rsidRPr="003948BA">
        <w:rPr>
          <w:sz w:val="20"/>
        </w:rPr>
        <w:t>of</w:t>
      </w:r>
      <w:r w:rsidRPr="003948BA">
        <w:rPr>
          <w:spacing w:val="35"/>
          <w:sz w:val="20"/>
        </w:rPr>
        <w:t xml:space="preserve"> </w:t>
      </w:r>
      <w:r w:rsidRPr="003948BA">
        <w:rPr>
          <w:sz w:val="20"/>
        </w:rPr>
        <w:t>obligation</w:t>
      </w:r>
      <w:r w:rsidRPr="003948BA">
        <w:rPr>
          <w:spacing w:val="33"/>
          <w:sz w:val="20"/>
        </w:rPr>
        <w:t xml:space="preserve"> </w:t>
      </w:r>
      <w:r w:rsidRPr="003948BA">
        <w:rPr>
          <w:sz w:val="20"/>
        </w:rPr>
        <w:t>by</w:t>
      </w:r>
      <w:r w:rsidRPr="003948BA">
        <w:rPr>
          <w:spacing w:val="30"/>
          <w:sz w:val="20"/>
        </w:rPr>
        <w:t xml:space="preserve"> </w:t>
      </w:r>
      <w:r w:rsidRPr="003948BA">
        <w:rPr>
          <w:sz w:val="20"/>
        </w:rPr>
        <w:t>the</w:t>
      </w:r>
      <w:r w:rsidRPr="003948BA">
        <w:rPr>
          <w:spacing w:val="35"/>
          <w:sz w:val="20"/>
        </w:rPr>
        <w:t xml:space="preserve"> </w:t>
      </w:r>
      <w:r w:rsidRPr="003948BA">
        <w:rPr>
          <w:sz w:val="20"/>
        </w:rPr>
        <w:t>Trustee</w:t>
      </w:r>
      <w:r w:rsidRPr="003948BA">
        <w:rPr>
          <w:spacing w:val="33"/>
          <w:sz w:val="20"/>
        </w:rPr>
        <w:t xml:space="preserve"> </w:t>
      </w:r>
      <w:r w:rsidRPr="003948BA">
        <w:rPr>
          <w:sz w:val="20"/>
        </w:rPr>
        <w:t>and</w:t>
      </w:r>
      <w:r w:rsidRPr="003948BA">
        <w:rPr>
          <w:spacing w:val="33"/>
          <w:sz w:val="20"/>
        </w:rPr>
        <w:t xml:space="preserve"> </w:t>
      </w:r>
      <w:r w:rsidRPr="003948BA">
        <w:rPr>
          <w:sz w:val="20"/>
        </w:rPr>
        <w:t>the</w:t>
      </w:r>
      <w:r w:rsidRPr="003948BA">
        <w:rPr>
          <w:spacing w:val="33"/>
          <w:sz w:val="20"/>
        </w:rPr>
        <w:t xml:space="preserve"> </w:t>
      </w:r>
      <w:r w:rsidRPr="003948BA">
        <w:rPr>
          <w:sz w:val="20"/>
        </w:rPr>
        <w:t>Management</w:t>
      </w:r>
    </w:p>
    <w:p w:rsidR="005E5B48" w:rsidRPr="003948BA" w:rsidRDefault="00814043">
      <w:pPr>
        <w:pStyle w:val="BodyText"/>
        <w:spacing w:line="223" w:lineRule="exact"/>
        <w:ind w:left="2000"/>
      </w:pPr>
      <w:r w:rsidRPr="003948BA">
        <w:t>Company.</w:t>
      </w:r>
    </w:p>
    <w:p w:rsidR="005E5B48" w:rsidRPr="003948BA" w:rsidRDefault="005E5B48">
      <w:pPr>
        <w:pStyle w:val="BodyText"/>
        <w:spacing w:before="3"/>
      </w:pPr>
    </w:p>
    <w:p w:rsidR="005E5B48" w:rsidRPr="003948BA" w:rsidRDefault="00814043" w:rsidP="00A002A6">
      <w:pPr>
        <w:pStyle w:val="ListParagraph"/>
        <w:numPr>
          <w:ilvl w:val="0"/>
          <w:numId w:val="20"/>
        </w:numPr>
        <w:tabs>
          <w:tab w:val="left" w:pos="2001"/>
        </w:tabs>
        <w:ind w:right="1018"/>
        <w:jc w:val="both"/>
        <w:rPr>
          <w:sz w:val="20"/>
        </w:rPr>
      </w:pPr>
      <w:r w:rsidRPr="003948BA">
        <w:rPr>
          <w:sz w:val="20"/>
        </w:rPr>
        <w:t xml:space="preserve">In the event of death of the first Holder, the person first in the order of survivor(s) as stated in the Account Opening Form shall be the only person recognized by the Trustee and the Management Company to receive all notices and correspondences with regard to the accounts, as well as proceeds of any redemption requests or dividend. Such </w:t>
      </w:r>
      <w:proofErr w:type="spellStart"/>
      <w:r w:rsidRPr="003948BA">
        <w:rPr>
          <w:sz w:val="20"/>
        </w:rPr>
        <w:t>person‟s</w:t>
      </w:r>
      <w:proofErr w:type="spellEnd"/>
      <w:r w:rsidRPr="003948BA">
        <w:rPr>
          <w:sz w:val="20"/>
        </w:rPr>
        <w:t xml:space="preserve"> acknowledgement of receipt of proceeds shall be considered as the valid discharge of obligation by the Trustee and the Management</w:t>
      </w:r>
      <w:r w:rsidRPr="003948BA">
        <w:rPr>
          <w:spacing w:val="-33"/>
          <w:sz w:val="20"/>
        </w:rPr>
        <w:t xml:space="preserve"> </w:t>
      </w:r>
      <w:r w:rsidRPr="003948BA">
        <w:rPr>
          <w:sz w:val="20"/>
        </w:rPr>
        <w:t>Company.</w:t>
      </w:r>
    </w:p>
    <w:p w:rsidR="005E5B48" w:rsidRPr="003948BA" w:rsidRDefault="005E5B48">
      <w:pPr>
        <w:pStyle w:val="BodyText"/>
        <w:spacing w:before="1"/>
      </w:pPr>
    </w:p>
    <w:p w:rsidR="005E5B48" w:rsidRPr="003948BA" w:rsidRDefault="00814043">
      <w:pPr>
        <w:pStyle w:val="BodyText"/>
        <w:ind w:left="2000" w:right="1015"/>
        <w:jc w:val="both"/>
      </w:pPr>
      <w:r w:rsidRPr="003948BA">
        <w:t>Provided however the Trustee and/or the Management Company may at their discretion request the production of a Succession Certificate from an appropriate Court before releasing of redemption requests or dividends in cases of doubts or disputes among the Joint Unit Holders and/or the legal heirs or legal representatives of the deceased.</w:t>
      </w:r>
    </w:p>
    <w:p w:rsidR="005E5B48" w:rsidRPr="003948BA" w:rsidRDefault="005E5B48">
      <w:pPr>
        <w:pStyle w:val="BodyText"/>
        <w:rPr>
          <w:sz w:val="22"/>
        </w:rPr>
      </w:pPr>
    </w:p>
    <w:p w:rsidR="005E5B48" w:rsidRPr="003948BA" w:rsidRDefault="00814043" w:rsidP="00A002A6">
      <w:pPr>
        <w:pStyle w:val="Heading5"/>
        <w:numPr>
          <w:ilvl w:val="2"/>
          <w:numId w:val="22"/>
        </w:numPr>
        <w:tabs>
          <w:tab w:val="left" w:pos="2000"/>
          <w:tab w:val="left" w:pos="2001"/>
        </w:tabs>
      </w:pPr>
      <w:r w:rsidRPr="003948BA">
        <w:t>Purchase of</w:t>
      </w:r>
      <w:r w:rsidRPr="003948BA">
        <w:rPr>
          <w:spacing w:val="-6"/>
        </w:rPr>
        <w:t xml:space="preserve"> </w:t>
      </w:r>
      <w:r w:rsidRPr="003948BA">
        <w:t>Units</w:t>
      </w:r>
    </w:p>
    <w:p w:rsidR="005E5B48" w:rsidRPr="003948BA" w:rsidRDefault="00814043" w:rsidP="00A002A6">
      <w:pPr>
        <w:pStyle w:val="ListParagraph"/>
        <w:numPr>
          <w:ilvl w:val="0"/>
          <w:numId w:val="19"/>
        </w:numPr>
        <w:tabs>
          <w:tab w:val="left" w:pos="2001"/>
        </w:tabs>
        <w:spacing w:before="126"/>
        <w:ind w:right="1018"/>
        <w:jc w:val="both"/>
        <w:rPr>
          <w:sz w:val="20"/>
        </w:rPr>
      </w:pPr>
      <w:r w:rsidRPr="003948BA">
        <w:rPr>
          <w:sz w:val="20"/>
        </w:rPr>
        <w:t>After opening an account an account holder may purchase Units of Allocation Plans under the Fund using the Investment Application Form attached to this Offering Document. Payment for the Units must accompany the</w:t>
      </w:r>
      <w:r w:rsidRPr="003948BA">
        <w:rPr>
          <w:spacing w:val="-18"/>
          <w:sz w:val="20"/>
        </w:rPr>
        <w:t xml:space="preserve"> </w:t>
      </w:r>
      <w:r w:rsidRPr="003948BA">
        <w:rPr>
          <w:sz w:val="20"/>
        </w:rPr>
        <w:t>form.</w:t>
      </w:r>
    </w:p>
    <w:p w:rsidR="005E5B48" w:rsidRPr="003948BA" w:rsidRDefault="005E5B48">
      <w:pPr>
        <w:pStyle w:val="BodyText"/>
        <w:spacing w:before="8"/>
        <w:rPr>
          <w:sz w:val="19"/>
        </w:rPr>
      </w:pPr>
    </w:p>
    <w:p w:rsidR="004724FC" w:rsidRPr="003948BA" w:rsidRDefault="00814043" w:rsidP="005A03AE">
      <w:pPr>
        <w:pStyle w:val="ListParagraph"/>
        <w:numPr>
          <w:ilvl w:val="0"/>
          <w:numId w:val="19"/>
        </w:numPr>
        <w:tabs>
          <w:tab w:val="left" w:pos="2042"/>
        </w:tabs>
        <w:ind w:left="2041" w:right="998"/>
        <w:jc w:val="both"/>
        <w:rPr>
          <w:sz w:val="20"/>
          <w:szCs w:val="20"/>
        </w:rPr>
      </w:pPr>
      <w:r w:rsidRPr="003948BA">
        <w:rPr>
          <w:sz w:val="20"/>
        </w:rPr>
        <w:t>Application for Purchase of Units shall be made by completing the prescribed Investment Application Form and submitting it to the authorized branches of the Distributor or to the Management Company together with the payment by cheque, bank draft, pay order or online transfer as the case may be in favor of Trustee Bank Account and crossed “Account Payee only” as specified</w:t>
      </w:r>
      <w:r w:rsidRPr="003948BA">
        <w:rPr>
          <w:spacing w:val="-2"/>
          <w:sz w:val="20"/>
        </w:rPr>
        <w:t xml:space="preserve"> </w:t>
      </w:r>
      <w:r w:rsidRPr="003948BA">
        <w:rPr>
          <w:sz w:val="20"/>
        </w:rPr>
        <w:t>below;</w:t>
      </w:r>
    </w:p>
    <w:p w:rsidR="005E5B48" w:rsidRPr="003948BA" w:rsidRDefault="005E5B48">
      <w:pPr>
        <w:pStyle w:val="BodyText"/>
      </w:pPr>
    </w:p>
    <w:p w:rsidR="005E5B48" w:rsidRDefault="00814043">
      <w:pPr>
        <w:pStyle w:val="BodyText"/>
        <w:tabs>
          <w:tab w:val="left" w:pos="2041"/>
        </w:tabs>
        <w:ind w:left="1681"/>
        <w:rPr>
          <w:b/>
          <w:u w:val="single"/>
        </w:rPr>
      </w:pPr>
      <w:r w:rsidRPr="003948BA">
        <w:rPr>
          <w:b/>
        </w:rPr>
        <w:t>i.</w:t>
      </w:r>
      <w:r w:rsidRPr="003948BA">
        <w:rPr>
          <w:b/>
        </w:rPr>
        <w:tab/>
      </w:r>
      <w:r w:rsidRPr="003948BA">
        <w:rPr>
          <w:b/>
          <w:u w:val="single"/>
        </w:rPr>
        <w:t xml:space="preserve">For Al-Ameen Islamic Active </w:t>
      </w:r>
      <w:r w:rsidR="00D662E2">
        <w:rPr>
          <w:b/>
          <w:u w:val="single"/>
        </w:rPr>
        <w:t>Allocation</w:t>
      </w:r>
      <w:r w:rsidR="000020BF" w:rsidRPr="003948BA">
        <w:rPr>
          <w:b/>
          <w:u w:val="single"/>
        </w:rPr>
        <w:t xml:space="preserve"> </w:t>
      </w:r>
      <w:r w:rsidRPr="003948BA">
        <w:rPr>
          <w:b/>
          <w:u w:val="single"/>
        </w:rPr>
        <w:t>Plan -</w:t>
      </w:r>
      <w:r w:rsidRPr="003948BA">
        <w:rPr>
          <w:b/>
          <w:spacing w:val="-2"/>
          <w:u w:val="single"/>
        </w:rPr>
        <w:t xml:space="preserve"> </w:t>
      </w:r>
      <w:r w:rsidR="00D662E2">
        <w:rPr>
          <w:b/>
          <w:spacing w:val="-2"/>
          <w:u w:val="single"/>
        </w:rPr>
        <w:t>XI</w:t>
      </w:r>
      <w:r w:rsidR="00FB0549">
        <w:rPr>
          <w:b/>
          <w:spacing w:val="-2"/>
          <w:u w:val="single"/>
        </w:rPr>
        <w:t>V</w:t>
      </w:r>
      <w:r w:rsidRPr="003948BA">
        <w:rPr>
          <w:b/>
          <w:u w:val="single"/>
        </w:rPr>
        <w:t>:</w:t>
      </w:r>
    </w:p>
    <w:p w:rsidR="008353B2" w:rsidRDefault="008353B2">
      <w:pPr>
        <w:pStyle w:val="BodyText"/>
        <w:tabs>
          <w:tab w:val="left" w:pos="2041"/>
        </w:tabs>
        <w:ind w:left="1681"/>
        <w:rPr>
          <w:b/>
        </w:rPr>
      </w:pPr>
    </w:p>
    <w:p w:rsidR="008353B2" w:rsidRPr="003948BA" w:rsidRDefault="008353B2">
      <w:pPr>
        <w:pStyle w:val="BodyText"/>
        <w:tabs>
          <w:tab w:val="left" w:pos="2041"/>
        </w:tabs>
        <w:ind w:left="1681"/>
        <w:rPr>
          <w:b/>
        </w:rPr>
      </w:pPr>
    </w:p>
    <w:p w:rsidR="008353B2" w:rsidRDefault="00814043" w:rsidP="008353B2">
      <w:pPr>
        <w:spacing w:before="1"/>
        <w:ind w:left="2520" w:right="998" w:hanging="479"/>
        <w:jc w:val="both"/>
        <w:rPr>
          <w:i/>
          <w:sz w:val="20"/>
        </w:rPr>
      </w:pPr>
      <w:r w:rsidRPr="003948BA">
        <w:rPr>
          <w:sz w:val="20"/>
        </w:rPr>
        <w:t xml:space="preserve">IPO: </w:t>
      </w:r>
      <w:r w:rsidR="008353B2">
        <w:rPr>
          <w:sz w:val="20"/>
        </w:rPr>
        <w:tab/>
      </w:r>
      <w:r w:rsidRPr="003948BA">
        <w:rPr>
          <w:i/>
          <w:sz w:val="20"/>
        </w:rPr>
        <w:t>“</w:t>
      </w:r>
      <w:r w:rsidR="002D79DD">
        <w:rPr>
          <w:i/>
          <w:sz w:val="20"/>
        </w:rPr>
        <w:t>(</w:t>
      </w:r>
      <w:proofErr w:type="spellStart"/>
      <w:r w:rsidR="002D79DD">
        <w:rPr>
          <w:i/>
          <w:sz w:val="20"/>
        </w:rPr>
        <w:t>i</w:t>
      </w:r>
      <w:proofErr w:type="spellEnd"/>
      <w:r w:rsidR="002D79DD">
        <w:rPr>
          <w:i/>
          <w:sz w:val="20"/>
        </w:rPr>
        <w:t xml:space="preserve">) </w:t>
      </w:r>
      <w:r w:rsidRPr="003948BA">
        <w:rPr>
          <w:i/>
          <w:sz w:val="20"/>
        </w:rPr>
        <w:t>CDC Trustee – Al-Ameen Islamic Financial Planning Fund-</w:t>
      </w:r>
      <w:r w:rsidR="00FB0549">
        <w:rPr>
          <w:i/>
          <w:sz w:val="20"/>
        </w:rPr>
        <w:t>IV</w:t>
      </w:r>
    </w:p>
    <w:p w:rsidR="005E5B48" w:rsidRDefault="002D79DD" w:rsidP="00CB53C7">
      <w:pPr>
        <w:spacing w:before="1"/>
        <w:ind w:left="2520" w:right="998"/>
        <w:jc w:val="both"/>
        <w:rPr>
          <w:i/>
          <w:sz w:val="20"/>
        </w:rPr>
      </w:pPr>
      <w:r>
        <w:rPr>
          <w:i/>
          <w:sz w:val="20"/>
        </w:rPr>
        <w:t xml:space="preserve">(ii) </w:t>
      </w:r>
      <w:r w:rsidR="008353B2" w:rsidRPr="003948BA">
        <w:rPr>
          <w:i/>
          <w:sz w:val="20"/>
        </w:rPr>
        <w:t>CDC Trustee – Al-Ameen Islamic Financial Planning Fund-</w:t>
      </w:r>
      <w:r w:rsidR="008353B2">
        <w:rPr>
          <w:i/>
          <w:sz w:val="20"/>
        </w:rPr>
        <w:t>IV</w:t>
      </w:r>
      <w:r>
        <w:rPr>
          <w:i/>
          <w:sz w:val="20"/>
        </w:rPr>
        <w:t xml:space="preserve"> -</w:t>
      </w:r>
      <w:r w:rsidR="00814043" w:rsidRPr="003948BA">
        <w:rPr>
          <w:i/>
          <w:sz w:val="20"/>
        </w:rPr>
        <w:t xml:space="preserve"> Al-Ameen </w:t>
      </w:r>
      <w:r w:rsidR="00207F45" w:rsidRPr="003948BA">
        <w:rPr>
          <w:i/>
          <w:sz w:val="20"/>
        </w:rPr>
        <w:t xml:space="preserve">Islamic Active </w:t>
      </w:r>
      <w:r w:rsidR="00D662E2">
        <w:rPr>
          <w:i/>
          <w:sz w:val="20"/>
        </w:rPr>
        <w:t>Allocation</w:t>
      </w:r>
      <w:r w:rsidR="00434985" w:rsidRPr="003948BA">
        <w:rPr>
          <w:i/>
          <w:sz w:val="20"/>
        </w:rPr>
        <w:t xml:space="preserve"> </w:t>
      </w:r>
      <w:r w:rsidR="00207F45" w:rsidRPr="003948BA">
        <w:rPr>
          <w:i/>
          <w:sz w:val="20"/>
        </w:rPr>
        <w:t>Plan-</w:t>
      </w:r>
      <w:r w:rsidR="00D662E2">
        <w:rPr>
          <w:i/>
          <w:sz w:val="20"/>
        </w:rPr>
        <w:t>XI</w:t>
      </w:r>
      <w:r w:rsidR="00FB0549">
        <w:rPr>
          <w:i/>
          <w:sz w:val="20"/>
        </w:rPr>
        <w:t>V</w:t>
      </w:r>
      <w:r w:rsidR="00814043" w:rsidRPr="003948BA">
        <w:rPr>
          <w:i/>
          <w:sz w:val="20"/>
        </w:rPr>
        <w:t>”</w:t>
      </w:r>
    </w:p>
    <w:p w:rsidR="00F4539B" w:rsidRPr="003948BA" w:rsidRDefault="006F1159" w:rsidP="00CB53C7">
      <w:pPr>
        <w:spacing w:before="1"/>
        <w:ind w:left="2520" w:right="998"/>
        <w:jc w:val="both"/>
        <w:rPr>
          <w:i/>
          <w:sz w:val="20"/>
        </w:rPr>
      </w:pPr>
      <w:r>
        <w:rPr>
          <w:i/>
          <w:sz w:val="20"/>
        </w:rPr>
        <w:t xml:space="preserve">(iii) </w:t>
      </w:r>
      <w:r w:rsidR="00F4539B">
        <w:rPr>
          <w:i/>
          <w:sz w:val="20"/>
        </w:rPr>
        <w:t xml:space="preserve">CDC Trustee – </w:t>
      </w:r>
      <w:proofErr w:type="spellStart"/>
      <w:r w:rsidR="00F4539B">
        <w:rPr>
          <w:i/>
          <w:sz w:val="20"/>
        </w:rPr>
        <w:t>Almeen</w:t>
      </w:r>
      <w:proofErr w:type="spellEnd"/>
      <w:r w:rsidR="00F4539B">
        <w:rPr>
          <w:i/>
          <w:sz w:val="20"/>
        </w:rPr>
        <w:t xml:space="preserve"> Funds</w:t>
      </w:r>
    </w:p>
    <w:p w:rsidR="005E5B48" w:rsidRPr="003948BA" w:rsidRDefault="005E5B48">
      <w:pPr>
        <w:pStyle w:val="BodyText"/>
        <w:spacing w:before="10"/>
        <w:rPr>
          <w:i/>
          <w:sz w:val="19"/>
        </w:rPr>
      </w:pPr>
    </w:p>
    <w:p w:rsidR="002D79DD" w:rsidRDefault="00814043" w:rsidP="002D79DD">
      <w:pPr>
        <w:ind w:left="2970" w:right="998" w:hanging="929"/>
        <w:jc w:val="both"/>
        <w:rPr>
          <w:i/>
          <w:sz w:val="20"/>
        </w:rPr>
      </w:pPr>
      <w:r w:rsidRPr="003948BA">
        <w:rPr>
          <w:sz w:val="20"/>
        </w:rPr>
        <w:t xml:space="preserve">Pre-IPO: </w:t>
      </w:r>
      <w:r w:rsidR="002D79DD">
        <w:rPr>
          <w:i/>
          <w:sz w:val="20"/>
        </w:rPr>
        <w:t>(</w:t>
      </w:r>
      <w:proofErr w:type="spellStart"/>
      <w:r w:rsidR="002D79DD">
        <w:rPr>
          <w:i/>
          <w:sz w:val="20"/>
        </w:rPr>
        <w:t>i</w:t>
      </w:r>
      <w:proofErr w:type="spellEnd"/>
      <w:r w:rsidR="002D79DD">
        <w:rPr>
          <w:i/>
          <w:sz w:val="20"/>
        </w:rPr>
        <w:t xml:space="preserve">) </w:t>
      </w:r>
      <w:r w:rsidRPr="003948BA">
        <w:rPr>
          <w:i/>
          <w:sz w:val="20"/>
        </w:rPr>
        <w:t>CDC Trustee – Al-Ameen Islamic Financial Planning Fund-</w:t>
      </w:r>
      <w:r w:rsidR="00FB0549">
        <w:rPr>
          <w:i/>
          <w:sz w:val="20"/>
        </w:rPr>
        <w:t>IV</w:t>
      </w:r>
      <w:r w:rsidRPr="003948BA">
        <w:rPr>
          <w:i/>
          <w:sz w:val="20"/>
        </w:rPr>
        <w:t xml:space="preserve"> </w:t>
      </w:r>
    </w:p>
    <w:p w:rsidR="005E5B48" w:rsidRDefault="002D79DD" w:rsidP="00CB53C7">
      <w:pPr>
        <w:ind w:left="2970" w:right="998" w:hanging="90"/>
        <w:jc w:val="both"/>
        <w:rPr>
          <w:i/>
          <w:sz w:val="20"/>
        </w:rPr>
      </w:pPr>
      <w:r>
        <w:rPr>
          <w:i/>
          <w:sz w:val="20"/>
        </w:rPr>
        <w:t xml:space="preserve">(ii) </w:t>
      </w:r>
      <w:r w:rsidRPr="003948BA">
        <w:rPr>
          <w:i/>
          <w:sz w:val="20"/>
        </w:rPr>
        <w:t>CDC Trustee – Al-Ameen Islamic Financial Planning Fund-</w:t>
      </w:r>
      <w:r>
        <w:rPr>
          <w:i/>
          <w:sz w:val="20"/>
        </w:rPr>
        <w:t>IV</w:t>
      </w:r>
      <w:r w:rsidRPr="003948BA">
        <w:rPr>
          <w:i/>
          <w:sz w:val="20"/>
        </w:rPr>
        <w:t xml:space="preserve"> </w:t>
      </w:r>
      <w:r>
        <w:rPr>
          <w:i/>
          <w:sz w:val="20"/>
        </w:rPr>
        <w:t xml:space="preserve">- </w:t>
      </w:r>
      <w:r w:rsidR="00814043" w:rsidRPr="003948BA">
        <w:rPr>
          <w:i/>
          <w:sz w:val="20"/>
        </w:rPr>
        <w:t>Al- Ameen Is</w:t>
      </w:r>
      <w:r w:rsidR="00207F45" w:rsidRPr="003948BA">
        <w:rPr>
          <w:i/>
          <w:sz w:val="20"/>
        </w:rPr>
        <w:t xml:space="preserve">lamic </w:t>
      </w:r>
      <w:r w:rsidR="000020BF" w:rsidRPr="003948BA">
        <w:rPr>
          <w:i/>
          <w:sz w:val="20"/>
        </w:rPr>
        <w:t xml:space="preserve">Active </w:t>
      </w:r>
      <w:r w:rsidR="00D662E2">
        <w:rPr>
          <w:i/>
          <w:sz w:val="20"/>
        </w:rPr>
        <w:t>Allocation</w:t>
      </w:r>
      <w:r w:rsidR="000020BF" w:rsidRPr="003948BA">
        <w:rPr>
          <w:i/>
          <w:sz w:val="20"/>
        </w:rPr>
        <w:t xml:space="preserve"> Plan -</w:t>
      </w:r>
      <w:r w:rsidR="00D662E2">
        <w:rPr>
          <w:i/>
          <w:sz w:val="20"/>
        </w:rPr>
        <w:t>XI</w:t>
      </w:r>
      <w:r w:rsidR="00FB0549">
        <w:rPr>
          <w:i/>
          <w:sz w:val="20"/>
        </w:rPr>
        <w:t>V</w:t>
      </w:r>
      <w:r w:rsidR="00814043" w:rsidRPr="003948BA">
        <w:rPr>
          <w:i/>
          <w:sz w:val="20"/>
        </w:rPr>
        <w:t xml:space="preserve"> – Pre-IPO”</w:t>
      </w:r>
    </w:p>
    <w:p w:rsidR="009126A1" w:rsidRPr="003948BA" w:rsidRDefault="009126A1" w:rsidP="00CB53C7">
      <w:pPr>
        <w:ind w:left="2970" w:right="998" w:hanging="90"/>
        <w:jc w:val="both"/>
        <w:rPr>
          <w:i/>
          <w:sz w:val="20"/>
        </w:rPr>
      </w:pPr>
      <w:r>
        <w:rPr>
          <w:i/>
          <w:sz w:val="20"/>
        </w:rPr>
        <w:t xml:space="preserve">(iii) CDC Trustee – </w:t>
      </w:r>
      <w:proofErr w:type="spellStart"/>
      <w:r>
        <w:rPr>
          <w:i/>
          <w:sz w:val="20"/>
        </w:rPr>
        <w:t>Almeen</w:t>
      </w:r>
      <w:proofErr w:type="spellEnd"/>
      <w:r>
        <w:rPr>
          <w:i/>
          <w:sz w:val="20"/>
        </w:rPr>
        <w:t xml:space="preserve"> Funds</w:t>
      </w:r>
    </w:p>
    <w:p w:rsidR="005E5B48" w:rsidRPr="003948BA" w:rsidRDefault="00814043" w:rsidP="00A002A6">
      <w:pPr>
        <w:pStyle w:val="ListParagraph"/>
        <w:numPr>
          <w:ilvl w:val="0"/>
          <w:numId w:val="19"/>
        </w:numPr>
        <w:tabs>
          <w:tab w:val="left" w:pos="2001"/>
        </w:tabs>
        <w:spacing w:before="186"/>
        <w:ind w:right="1021"/>
        <w:jc w:val="both"/>
        <w:rPr>
          <w:sz w:val="20"/>
        </w:rPr>
      </w:pPr>
      <w:r w:rsidRPr="003948BA">
        <w:rPr>
          <w:sz w:val="20"/>
        </w:rPr>
        <w:t>The Management Company may also notify, from time to time, arrangements or other forms of payment within such limits and restrictions considered fit by it with the prior approval of</w:t>
      </w:r>
      <w:r w:rsidRPr="003948BA">
        <w:rPr>
          <w:spacing w:val="-9"/>
          <w:sz w:val="20"/>
        </w:rPr>
        <w:t xml:space="preserve"> </w:t>
      </w:r>
      <w:r w:rsidRPr="003948BA">
        <w:rPr>
          <w:sz w:val="20"/>
        </w:rPr>
        <w:t>Commission.</w:t>
      </w:r>
    </w:p>
    <w:p w:rsidR="005E5B48" w:rsidRPr="003948BA" w:rsidRDefault="005E5B48">
      <w:pPr>
        <w:pStyle w:val="BodyText"/>
        <w:spacing w:before="11"/>
        <w:rPr>
          <w:sz w:val="19"/>
        </w:rPr>
      </w:pPr>
    </w:p>
    <w:p w:rsidR="005E5B48" w:rsidRPr="003948BA" w:rsidRDefault="00814043" w:rsidP="00A002A6">
      <w:pPr>
        <w:pStyle w:val="ListParagraph"/>
        <w:numPr>
          <w:ilvl w:val="0"/>
          <w:numId w:val="19"/>
        </w:numPr>
        <w:tabs>
          <w:tab w:val="left" w:pos="2001"/>
        </w:tabs>
        <w:ind w:right="1015"/>
        <w:jc w:val="both"/>
        <w:rPr>
          <w:sz w:val="20"/>
        </w:rPr>
      </w:pPr>
      <w:r w:rsidRPr="003948BA">
        <w:rPr>
          <w:sz w:val="20"/>
        </w:rPr>
        <w:t>Applicants must indicate their account number in the Investment Application Form except in cases where the Investor Account Opening Form is sent with the Investment Application</w:t>
      </w:r>
      <w:r w:rsidRPr="003948BA">
        <w:rPr>
          <w:spacing w:val="-6"/>
          <w:sz w:val="20"/>
        </w:rPr>
        <w:t xml:space="preserve"> </w:t>
      </w:r>
      <w:r w:rsidRPr="003948BA">
        <w:rPr>
          <w:sz w:val="20"/>
        </w:rPr>
        <w:t>Form.</w:t>
      </w:r>
    </w:p>
    <w:p w:rsidR="005E5B48" w:rsidRPr="003948BA" w:rsidRDefault="005E5B48">
      <w:pPr>
        <w:pStyle w:val="BodyText"/>
        <w:spacing w:before="2"/>
      </w:pPr>
    </w:p>
    <w:p w:rsidR="005E5B48" w:rsidRPr="003948BA" w:rsidRDefault="00814043" w:rsidP="00A002A6">
      <w:pPr>
        <w:pStyle w:val="ListParagraph"/>
        <w:numPr>
          <w:ilvl w:val="0"/>
          <w:numId w:val="19"/>
        </w:numPr>
        <w:tabs>
          <w:tab w:val="left" w:pos="2001"/>
        </w:tabs>
        <w:ind w:right="1013"/>
        <w:jc w:val="both"/>
        <w:rPr>
          <w:sz w:val="20"/>
        </w:rPr>
      </w:pPr>
      <w:r w:rsidRPr="003948BA">
        <w:rPr>
          <w:sz w:val="20"/>
        </w:rPr>
        <w:t>The applicant must obtain a copy of the application signed and stamped by an authorized officer of the Distributor acknowledging the receipt of the  application, copies of other documents prescribed herein and the demand-draft, pay-order, cheque or deposit slip as the case may be. Acknowledgement for applications and payment instruments can only be validly issued by</w:t>
      </w:r>
      <w:r w:rsidRPr="003948BA">
        <w:rPr>
          <w:spacing w:val="-19"/>
          <w:sz w:val="20"/>
        </w:rPr>
        <w:t xml:space="preserve"> </w:t>
      </w:r>
      <w:r w:rsidRPr="003948BA">
        <w:rPr>
          <w:sz w:val="20"/>
        </w:rPr>
        <w:t>Distributors.</w:t>
      </w:r>
    </w:p>
    <w:p w:rsidR="005E5B48" w:rsidRPr="003948BA" w:rsidRDefault="005E5B48">
      <w:pPr>
        <w:pStyle w:val="BodyText"/>
        <w:spacing w:before="9"/>
        <w:rPr>
          <w:sz w:val="19"/>
        </w:rPr>
      </w:pPr>
    </w:p>
    <w:p w:rsidR="005E5B48" w:rsidRPr="003948BA" w:rsidRDefault="00814043" w:rsidP="00A002A6">
      <w:pPr>
        <w:pStyle w:val="ListParagraph"/>
        <w:numPr>
          <w:ilvl w:val="0"/>
          <w:numId w:val="19"/>
        </w:numPr>
        <w:tabs>
          <w:tab w:val="left" w:pos="2001"/>
        </w:tabs>
        <w:spacing w:before="1"/>
        <w:ind w:right="1012"/>
        <w:jc w:val="both"/>
        <w:rPr>
          <w:sz w:val="20"/>
        </w:rPr>
      </w:pPr>
      <w:r w:rsidRPr="003948BA">
        <w:rPr>
          <w:sz w:val="20"/>
        </w:rPr>
        <w:t xml:space="preserve">The Distribution Company and/or Management Company will be entitled to verify the </w:t>
      </w:r>
      <w:r w:rsidRPr="003948BA">
        <w:rPr>
          <w:sz w:val="20"/>
        </w:rPr>
        <w:lastRenderedPageBreak/>
        <w:t>detail given in the Investment Form. In case of any incorrect information, the application may be rejected if the applicant fails to rectify the discrepancy (except for discrepancy in payment instrument, in which case application will be rejected immediately).</w:t>
      </w:r>
    </w:p>
    <w:p w:rsidR="005E5B48" w:rsidRPr="003948BA" w:rsidRDefault="005E5B48">
      <w:pPr>
        <w:pStyle w:val="BodyText"/>
        <w:rPr>
          <w:sz w:val="22"/>
        </w:rPr>
      </w:pPr>
    </w:p>
    <w:p w:rsidR="005E5B48" w:rsidRPr="003948BA" w:rsidRDefault="005E5B48">
      <w:pPr>
        <w:pStyle w:val="BodyText"/>
        <w:rPr>
          <w:sz w:val="18"/>
        </w:rPr>
      </w:pPr>
    </w:p>
    <w:p w:rsidR="005E5B48" w:rsidRPr="003948BA" w:rsidRDefault="00814043" w:rsidP="00A002A6">
      <w:pPr>
        <w:pStyle w:val="ListParagraph"/>
        <w:numPr>
          <w:ilvl w:val="0"/>
          <w:numId w:val="19"/>
        </w:numPr>
        <w:tabs>
          <w:tab w:val="left" w:pos="2001"/>
        </w:tabs>
        <w:spacing w:before="1"/>
        <w:ind w:right="1014"/>
        <w:jc w:val="both"/>
        <w:rPr>
          <w:sz w:val="20"/>
        </w:rPr>
      </w:pPr>
      <w:r w:rsidRPr="003948BA">
        <w:rPr>
          <w:sz w:val="20"/>
        </w:rPr>
        <w:t>The Management Company will make arrangements, from time to time, for receiving Investment Request Forms and payments from outside Pakistan and will disclose these arrangements through its website and its Distributors and agents outside Pakistan.</w:t>
      </w:r>
    </w:p>
    <w:p w:rsidR="005E5B48" w:rsidRPr="003948BA" w:rsidRDefault="005E5B48">
      <w:pPr>
        <w:pStyle w:val="BodyText"/>
        <w:rPr>
          <w:sz w:val="26"/>
        </w:rPr>
      </w:pPr>
    </w:p>
    <w:p w:rsidR="005E5B48" w:rsidRPr="003948BA" w:rsidRDefault="00814043" w:rsidP="00A002A6">
      <w:pPr>
        <w:pStyle w:val="Heading5"/>
        <w:numPr>
          <w:ilvl w:val="2"/>
          <w:numId w:val="22"/>
        </w:numPr>
        <w:tabs>
          <w:tab w:val="left" w:pos="2000"/>
          <w:tab w:val="left" w:pos="2001"/>
        </w:tabs>
        <w:spacing w:before="6"/>
        <w:rPr>
          <w:sz w:val="17"/>
        </w:rPr>
      </w:pPr>
      <w:r w:rsidRPr="003948BA">
        <w:t>Minimum Amount of</w:t>
      </w:r>
      <w:r w:rsidRPr="003948BA">
        <w:rPr>
          <w:spacing w:val="-8"/>
        </w:rPr>
        <w:t xml:space="preserve"> </w:t>
      </w:r>
      <w:r w:rsidRPr="003948BA">
        <w:t>Investment</w:t>
      </w:r>
    </w:p>
    <w:p w:rsidR="005E5B48" w:rsidRPr="003948BA" w:rsidRDefault="00814043">
      <w:pPr>
        <w:pStyle w:val="BodyText"/>
        <w:spacing w:before="93" w:line="242" w:lineRule="auto"/>
        <w:ind w:left="2000" w:right="1004"/>
        <w:jc w:val="both"/>
      </w:pPr>
      <w:r w:rsidRPr="003948BA">
        <w:t xml:space="preserve">Units shall be issued as per clause 4.2 with a minimum investment size of </w:t>
      </w:r>
      <w:r w:rsidR="00207F45" w:rsidRPr="003948BA">
        <w:rPr>
          <w:b/>
        </w:rPr>
        <w:t>Rs.</w:t>
      </w:r>
      <w:r w:rsidRPr="003948BA">
        <w:rPr>
          <w:b/>
        </w:rPr>
        <w:t xml:space="preserve">10,000 </w:t>
      </w:r>
      <w:r w:rsidRPr="003948BA">
        <w:t>(Rupees Ten Thousand only) and thereafter the minimum amount for investment would be Rs. 1,000/- (Rupees One Thousand only). The Management Company reserves the right to alter the minimum amounts stated</w:t>
      </w:r>
      <w:r w:rsidRPr="003948BA">
        <w:rPr>
          <w:spacing w:val="-21"/>
        </w:rPr>
        <w:t xml:space="preserve"> </w:t>
      </w:r>
      <w:r w:rsidRPr="003948BA">
        <w:t>hereinabove.</w:t>
      </w:r>
    </w:p>
    <w:p w:rsidR="005E5B48" w:rsidRPr="003948BA" w:rsidRDefault="005E5B48">
      <w:pPr>
        <w:pStyle w:val="BodyText"/>
        <w:rPr>
          <w:sz w:val="22"/>
        </w:rPr>
      </w:pPr>
    </w:p>
    <w:p w:rsidR="005E5B48" w:rsidRPr="003948BA" w:rsidRDefault="005E5B48">
      <w:pPr>
        <w:pStyle w:val="BodyText"/>
        <w:spacing w:before="3"/>
        <w:rPr>
          <w:sz w:val="18"/>
        </w:rPr>
      </w:pPr>
    </w:p>
    <w:p w:rsidR="005E5B48" w:rsidRPr="003948BA" w:rsidRDefault="00814043" w:rsidP="00A002A6">
      <w:pPr>
        <w:pStyle w:val="Heading5"/>
        <w:numPr>
          <w:ilvl w:val="2"/>
          <w:numId w:val="22"/>
        </w:numPr>
        <w:tabs>
          <w:tab w:val="left" w:pos="2000"/>
          <w:tab w:val="left" w:pos="2001"/>
        </w:tabs>
      </w:pPr>
      <w:r w:rsidRPr="003948BA">
        <w:t>Determination of Purchase (Public Offer)</w:t>
      </w:r>
      <w:r w:rsidRPr="003948BA">
        <w:rPr>
          <w:spacing w:val="-12"/>
        </w:rPr>
        <w:t xml:space="preserve"> </w:t>
      </w:r>
      <w:r w:rsidRPr="003948BA">
        <w:t>Price</w:t>
      </w:r>
    </w:p>
    <w:p w:rsidR="005E5B48" w:rsidRPr="003948BA" w:rsidRDefault="005E5B48">
      <w:pPr>
        <w:pStyle w:val="BodyText"/>
        <w:spacing w:before="7"/>
        <w:rPr>
          <w:b/>
          <w:sz w:val="27"/>
        </w:rPr>
      </w:pPr>
    </w:p>
    <w:p w:rsidR="005E5B48" w:rsidRPr="003948BA" w:rsidRDefault="00814043" w:rsidP="00A002A6">
      <w:pPr>
        <w:pStyle w:val="ListParagraph"/>
        <w:numPr>
          <w:ilvl w:val="0"/>
          <w:numId w:val="18"/>
        </w:numPr>
        <w:tabs>
          <w:tab w:val="left" w:pos="2001"/>
        </w:tabs>
        <w:ind w:right="1020"/>
        <w:jc w:val="both"/>
        <w:rPr>
          <w:sz w:val="20"/>
        </w:rPr>
      </w:pPr>
      <w:r w:rsidRPr="003948BA">
        <w:rPr>
          <w:sz w:val="20"/>
        </w:rPr>
        <w:t xml:space="preserve">Units of Allocation Plans offered during the Initial </w:t>
      </w:r>
      <w:r w:rsidR="000355B0">
        <w:rPr>
          <w:sz w:val="20"/>
        </w:rPr>
        <w:t xml:space="preserve">offering </w:t>
      </w:r>
      <w:r w:rsidRPr="003948BA">
        <w:rPr>
          <w:sz w:val="20"/>
        </w:rPr>
        <w:t>period will be as specified in Clause 1.10.</w:t>
      </w:r>
    </w:p>
    <w:p w:rsidR="005E5B48" w:rsidRPr="003948BA" w:rsidRDefault="005E5B48">
      <w:pPr>
        <w:pStyle w:val="BodyText"/>
        <w:spacing w:before="1"/>
      </w:pPr>
    </w:p>
    <w:p w:rsidR="005E5B48" w:rsidRPr="003948BA" w:rsidRDefault="00814043" w:rsidP="00A002A6">
      <w:pPr>
        <w:pStyle w:val="ListParagraph"/>
        <w:numPr>
          <w:ilvl w:val="0"/>
          <w:numId w:val="18"/>
        </w:numPr>
        <w:tabs>
          <w:tab w:val="left" w:pos="2001"/>
        </w:tabs>
        <w:ind w:right="1017"/>
        <w:jc w:val="both"/>
        <w:rPr>
          <w:sz w:val="20"/>
        </w:rPr>
      </w:pPr>
      <w:r w:rsidRPr="003948BA">
        <w:rPr>
          <w:sz w:val="20"/>
        </w:rPr>
        <w:t xml:space="preserve">After the Initial </w:t>
      </w:r>
      <w:r w:rsidR="000355B0">
        <w:rPr>
          <w:sz w:val="20"/>
        </w:rPr>
        <w:t xml:space="preserve">Offering </w:t>
      </w:r>
      <w:r w:rsidRPr="003948BA">
        <w:rPr>
          <w:sz w:val="20"/>
        </w:rPr>
        <w:t>Period, the Purchase (Offer) Price for the Units offered through Public Offering, shall be determined from time to time pursuant to the Sub clause (c) hereafter and shall be announced by the Management Company for Dealing Days during the period when the relevant Allocation Plan is open for</w:t>
      </w:r>
      <w:r w:rsidRPr="003948BA">
        <w:rPr>
          <w:spacing w:val="-27"/>
          <w:sz w:val="20"/>
        </w:rPr>
        <w:t xml:space="preserve"> </w:t>
      </w:r>
      <w:r w:rsidRPr="003948BA">
        <w:rPr>
          <w:sz w:val="20"/>
        </w:rPr>
        <w:t>subscription.</w:t>
      </w:r>
    </w:p>
    <w:p w:rsidR="005E5B48" w:rsidRPr="003948BA" w:rsidRDefault="005E5B48">
      <w:pPr>
        <w:pStyle w:val="BodyText"/>
        <w:spacing w:before="10"/>
        <w:rPr>
          <w:sz w:val="19"/>
        </w:rPr>
      </w:pPr>
    </w:p>
    <w:p w:rsidR="005E5B48" w:rsidRPr="003948BA" w:rsidRDefault="00814043" w:rsidP="00A002A6">
      <w:pPr>
        <w:pStyle w:val="ListParagraph"/>
        <w:numPr>
          <w:ilvl w:val="0"/>
          <w:numId w:val="18"/>
        </w:numPr>
        <w:tabs>
          <w:tab w:val="left" w:pos="2000"/>
          <w:tab w:val="left" w:pos="2001"/>
        </w:tabs>
        <w:rPr>
          <w:sz w:val="20"/>
        </w:rPr>
      </w:pPr>
      <w:r w:rsidRPr="003948BA">
        <w:rPr>
          <w:sz w:val="20"/>
        </w:rPr>
        <w:t>The Purchase (Offer) Price of Units of any Allocation Plan shall be equal to the sum</w:t>
      </w:r>
      <w:r w:rsidRPr="003948BA">
        <w:rPr>
          <w:spacing w:val="-22"/>
          <w:sz w:val="20"/>
        </w:rPr>
        <w:t xml:space="preserve"> </w:t>
      </w:r>
      <w:r w:rsidRPr="003948BA">
        <w:rPr>
          <w:sz w:val="20"/>
        </w:rPr>
        <w:t>of:</w:t>
      </w:r>
    </w:p>
    <w:p w:rsidR="005E5B48" w:rsidRPr="003948BA" w:rsidRDefault="00814043" w:rsidP="00A002A6">
      <w:pPr>
        <w:pStyle w:val="ListParagraph"/>
        <w:numPr>
          <w:ilvl w:val="1"/>
          <w:numId w:val="18"/>
        </w:numPr>
        <w:tabs>
          <w:tab w:val="left" w:pos="2720"/>
          <w:tab w:val="left" w:pos="2721"/>
        </w:tabs>
        <w:spacing w:before="118"/>
        <w:ind w:right="1707" w:hanging="451"/>
        <w:rPr>
          <w:sz w:val="20"/>
        </w:rPr>
      </w:pPr>
      <w:r w:rsidRPr="003948BA">
        <w:rPr>
          <w:sz w:val="20"/>
        </w:rPr>
        <w:t>The Net Asset Value (NAV) of the Allocation Plan as of the close of the Business Day (Forward</w:t>
      </w:r>
      <w:r w:rsidRPr="003948BA">
        <w:rPr>
          <w:spacing w:val="-13"/>
          <w:sz w:val="20"/>
        </w:rPr>
        <w:t xml:space="preserve"> </w:t>
      </w:r>
      <w:r w:rsidRPr="003948BA">
        <w:rPr>
          <w:sz w:val="20"/>
        </w:rPr>
        <w:t>pricing);</w:t>
      </w:r>
    </w:p>
    <w:p w:rsidR="005E5B48" w:rsidRPr="003948BA" w:rsidRDefault="00814043" w:rsidP="00A002A6">
      <w:pPr>
        <w:pStyle w:val="ListParagraph"/>
        <w:numPr>
          <w:ilvl w:val="1"/>
          <w:numId w:val="18"/>
        </w:numPr>
        <w:tabs>
          <w:tab w:val="left" w:pos="2720"/>
          <w:tab w:val="left" w:pos="2721"/>
        </w:tabs>
        <w:spacing w:before="121"/>
        <w:ind w:left="2720" w:hanging="468"/>
        <w:rPr>
          <w:sz w:val="20"/>
        </w:rPr>
      </w:pPr>
      <w:r w:rsidRPr="003948BA">
        <w:rPr>
          <w:sz w:val="20"/>
        </w:rPr>
        <w:t>Any Front-end Load as disclosed in this Offering</w:t>
      </w:r>
      <w:r w:rsidRPr="003948BA">
        <w:rPr>
          <w:spacing w:val="-18"/>
          <w:sz w:val="20"/>
        </w:rPr>
        <w:t xml:space="preserve"> </w:t>
      </w:r>
      <w:r w:rsidRPr="003948BA">
        <w:rPr>
          <w:sz w:val="20"/>
        </w:rPr>
        <w:t>Document.</w:t>
      </w:r>
    </w:p>
    <w:p w:rsidR="005E5B48" w:rsidRPr="003948BA" w:rsidRDefault="00814043" w:rsidP="00A002A6">
      <w:pPr>
        <w:pStyle w:val="ListParagraph"/>
        <w:numPr>
          <w:ilvl w:val="1"/>
          <w:numId w:val="18"/>
        </w:numPr>
        <w:tabs>
          <w:tab w:val="left" w:pos="2720"/>
          <w:tab w:val="left" w:pos="2721"/>
        </w:tabs>
        <w:spacing w:before="120"/>
        <w:ind w:right="1471" w:hanging="494"/>
        <w:rPr>
          <w:sz w:val="20"/>
        </w:rPr>
      </w:pPr>
      <w:r w:rsidRPr="003948BA">
        <w:rPr>
          <w:sz w:val="20"/>
        </w:rPr>
        <w:t>Such amount as the Management Company may consider an appropriate provision for Duties and Charges;</w:t>
      </w:r>
      <w:r w:rsidRPr="003948BA">
        <w:rPr>
          <w:spacing w:val="-15"/>
          <w:sz w:val="20"/>
        </w:rPr>
        <w:t xml:space="preserve"> </w:t>
      </w:r>
      <w:r w:rsidRPr="003948BA">
        <w:rPr>
          <w:sz w:val="20"/>
        </w:rPr>
        <w:t>and</w:t>
      </w:r>
    </w:p>
    <w:p w:rsidR="005E5B48" w:rsidRPr="003948BA" w:rsidRDefault="00814043" w:rsidP="00A002A6">
      <w:pPr>
        <w:pStyle w:val="ListParagraph"/>
        <w:numPr>
          <w:ilvl w:val="1"/>
          <w:numId w:val="18"/>
        </w:numPr>
        <w:tabs>
          <w:tab w:val="left" w:pos="2720"/>
          <w:tab w:val="left" w:pos="2721"/>
        </w:tabs>
        <w:spacing w:before="118"/>
        <w:ind w:right="1471" w:hanging="501"/>
        <w:rPr>
          <w:sz w:val="20"/>
        </w:rPr>
      </w:pPr>
      <w:r w:rsidRPr="003948BA">
        <w:rPr>
          <w:sz w:val="20"/>
        </w:rPr>
        <w:t>Such amount as the Management Company may consider an appropriate provision for Transaction</w:t>
      </w:r>
      <w:r w:rsidRPr="003948BA">
        <w:rPr>
          <w:spacing w:val="-12"/>
          <w:sz w:val="20"/>
        </w:rPr>
        <w:t xml:space="preserve"> </w:t>
      </w:r>
      <w:r w:rsidRPr="003948BA">
        <w:rPr>
          <w:sz w:val="20"/>
        </w:rPr>
        <w:t>Costs.</w:t>
      </w:r>
    </w:p>
    <w:p w:rsidR="005E5B48" w:rsidRPr="003948BA" w:rsidRDefault="00814043">
      <w:pPr>
        <w:pStyle w:val="BodyText"/>
        <w:spacing w:before="121"/>
        <w:ind w:left="2000"/>
      </w:pPr>
      <w:r w:rsidRPr="003948BA">
        <w:t>Such sum shall be adjusted upward to the nearest paisa.</w:t>
      </w:r>
    </w:p>
    <w:p w:rsidR="005E5B48" w:rsidRPr="003948BA" w:rsidRDefault="005E5B48">
      <w:pPr>
        <w:pStyle w:val="BodyText"/>
        <w:spacing w:before="4"/>
      </w:pPr>
    </w:p>
    <w:p w:rsidR="005E5B48" w:rsidRPr="003948BA" w:rsidRDefault="00814043">
      <w:pPr>
        <w:pStyle w:val="BodyText"/>
        <w:ind w:left="2000" w:right="1009"/>
        <w:jc w:val="both"/>
      </w:pPr>
      <w:r w:rsidRPr="003948BA">
        <w:t>If such price exceed or falls short of the current value of the underlying assets by more than five percent based on information available, the assets Management Company shall defer dealing and calculate a new price and this new price would be applicable for dealing of</w:t>
      </w:r>
      <w:r w:rsidRPr="003948BA">
        <w:rPr>
          <w:spacing w:val="-6"/>
        </w:rPr>
        <w:t xml:space="preserve"> </w:t>
      </w:r>
      <w:r w:rsidRPr="003948BA">
        <w:t>units.</w:t>
      </w:r>
    </w:p>
    <w:p w:rsidR="005E5B48" w:rsidRPr="003948BA" w:rsidRDefault="005E5B48">
      <w:pPr>
        <w:pStyle w:val="BodyText"/>
        <w:spacing w:before="11"/>
        <w:rPr>
          <w:sz w:val="19"/>
        </w:rPr>
      </w:pPr>
    </w:p>
    <w:p w:rsidR="005E5B48" w:rsidRPr="003948BA" w:rsidRDefault="00814043" w:rsidP="00A002A6">
      <w:pPr>
        <w:pStyle w:val="ListParagraph"/>
        <w:numPr>
          <w:ilvl w:val="0"/>
          <w:numId w:val="18"/>
        </w:numPr>
        <w:tabs>
          <w:tab w:val="left" w:pos="2001"/>
        </w:tabs>
        <w:ind w:right="1016"/>
        <w:jc w:val="both"/>
        <w:rPr>
          <w:sz w:val="20"/>
        </w:rPr>
      </w:pPr>
      <w:r w:rsidRPr="003948BA">
        <w:rPr>
          <w:sz w:val="20"/>
        </w:rPr>
        <w:t>The Purchase (Offer) Price so determined shall apply to purchase requests, received by the Distributor or the Management Company during the Business Hours on the Dealing Day on which the completely and correctly filled purchase of Units application form is</w:t>
      </w:r>
      <w:r w:rsidRPr="003948BA">
        <w:rPr>
          <w:spacing w:val="-7"/>
          <w:sz w:val="20"/>
        </w:rPr>
        <w:t xml:space="preserve"> </w:t>
      </w:r>
      <w:r w:rsidRPr="003948BA">
        <w:rPr>
          <w:sz w:val="20"/>
        </w:rPr>
        <w:t>received.</w:t>
      </w:r>
    </w:p>
    <w:p w:rsidR="005E5B48" w:rsidRPr="003948BA" w:rsidRDefault="005E5B48">
      <w:pPr>
        <w:pStyle w:val="BodyText"/>
        <w:spacing w:before="2"/>
      </w:pPr>
    </w:p>
    <w:p w:rsidR="005E5B48" w:rsidRPr="003948BA" w:rsidRDefault="00814043" w:rsidP="00A002A6">
      <w:pPr>
        <w:pStyle w:val="ListParagraph"/>
        <w:numPr>
          <w:ilvl w:val="0"/>
          <w:numId w:val="18"/>
        </w:numPr>
        <w:tabs>
          <w:tab w:val="left" w:pos="2001"/>
        </w:tabs>
        <w:ind w:right="1010"/>
        <w:jc w:val="both"/>
        <w:rPr>
          <w:sz w:val="20"/>
        </w:rPr>
      </w:pPr>
      <w:r w:rsidRPr="003948BA">
        <w:rPr>
          <w:sz w:val="20"/>
        </w:rPr>
        <w:t>The Purchase (Offer) Price of the Units of the Allocation Plans open for subscription, shall be separately calculated and announced by the Management on a daily basis and be made available to the public at the office and branches of the Distributors and will</w:t>
      </w:r>
      <w:r w:rsidRPr="003948BA">
        <w:rPr>
          <w:spacing w:val="-7"/>
          <w:sz w:val="20"/>
        </w:rPr>
        <w:t xml:space="preserve"> </w:t>
      </w:r>
      <w:r w:rsidRPr="003948BA">
        <w:rPr>
          <w:sz w:val="20"/>
        </w:rPr>
        <w:t>also</w:t>
      </w:r>
      <w:r w:rsidRPr="003948BA">
        <w:rPr>
          <w:spacing w:val="-6"/>
          <w:sz w:val="20"/>
        </w:rPr>
        <w:t xml:space="preserve"> </w:t>
      </w:r>
      <w:r w:rsidRPr="003948BA">
        <w:rPr>
          <w:sz w:val="20"/>
        </w:rPr>
        <w:t>be</w:t>
      </w:r>
      <w:r w:rsidRPr="003948BA">
        <w:rPr>
          <w:spacing w:val="-6"/>
          <w:sz w:val="20"/>
        </w:rPr>
        <w:t xml:space="preserve"> </w:t>
      </w:r>
      <w:r w:rsidRPr="003948BA">
        <w:rPr>
          <w:sz w:val="20"/>
        </w:rPr>
        <w:t>published</w:t>
      </w:r>
      <w:r w:rsidRPr="003948BA">
        <w:rPr>
          <w:spacing w:val="-6"/>
          <w:sz w:val="20"/>
        </w:rPr>
        <w:t xml:space="preserve"> </w:t>
      </w:r>
      <w:r w:rsidRPr="003948BA">
        <w:rPr>
          <w:sz w:val="20"/>
        </w:rPr>
        <w:t>daily</w:t>
      </w:r>
      <w:r w:rsidRPr="003948BA">
        <w:rPr>
          <w:spacing w:val="-7"/>
          <w:sz w:val="20"/>
        </w:rPr>
        <w:t xml:space="preserve"> </w:t>
      </w:r>
      <w:r w:rsidRPr="003948BA">
        <w:rPr>
          <w:sz w:val="20"/>
        </w:rPr>
        <w:t>on</w:t>
      </w:r>
      <w:r w:rsidRPr="003948BA">
        <w:rPr>
          <w:spacing w:val="-7"/>
          <w:sz w:val="20"/>
        </w:rPr>
        <w:t xml:space="preserve"> </w:t>
      </w:r>
      <w:r w:rsidRPr="003948BA">
        <w:rPr>
          <w:sz w:val="20"/>
        </w:rPr>
        <w:t>the</w:t>
      </w:r>
      <w:r w:rsidRPr="003948BA">
        <w:rPr>
          <w:spacing w:val="-6"/>
          <w:sz w:val="20"/>
        </w:rPr>
        <w:t xml:space="preserve"> </w:t>
      </w:r>
      <w:r w:rsidRPr="003948BA">
        <w:rPr>
          <w:sz w:val="20"/>
        </w:rPr>
        <w:t>Management</w:t>
      </w:r>
      <w:r w:rsidRPr="003948BA">
        <w:rPr>
          <w:spacing w:val="-6"/>
          <w:sz w:val="20"/>
        </w:rPr>
        <w:t xml:space="preserve"> </w:t>
      </w:r>
      <w:r w:rsidR="00207F45" w:rsidRPr="003948BA">
        <w:rPr>
          <w:sz w:val="20"/>
        </w:rPr>
        <w:t>Company’s</w:t>
      </w:r>
      <w:r w:rsidRPr="003948BA">
        <w:rPr>
          <w:spacing w:val="-5"/>
          <w:sz w:val="20"/>
        </w:rPr>
        <w:t xml:space="preserve"> </w:t>
      </w:r>
      <w:r w:rsidRPr="003948BA">
        <w:rPr>
          <w:sz w:val="20"/>
        </w:rPr>
        <w:t>and</w:t>
      </w:r>
      <w:r w:rsidRPr="003948BA">
        <w:rPr>
          <w:spacing w:val="-6"/>
          <w:sz w:val="20"/>
        </w:rPr>
        <w:t xml:space="preserve"> </w:t>
      </w:r>
      <w:r w:rsidRPr="003948BA">
        <w:rPr>
          <w:sz w:val="20"/>
        </w:rPr>
        <w:t>MUFAP‟s</w:t>
      </w:r>
      <w:r w:rsidRPr="003948BA">
        <w:rPr>
          <w:spacing w:val="-22"/>
          <w:sz w:val="20"/>
        </w:rPr>
        <w:t xml:space="preserve"> </w:t>
      </w:r>
      <w:r w:rsidRPr="003948BA">
        <w:rPr>
          <w:sz w:val="20"/>
        </w:rPr>
        <w:t>website.</w:t>
      </w:r>
    </w:p>
    <w:p w:rsidR="005E5B48" w:rsidRPr="003948BA" w:rsidRDefault="005E5B48">
      <w:pPr>
        <w:pStyle w:val="BodyText"/>
        <w:spacing w:before="6"/>
        <w:rPr>
          <w:sz w:val="18"/>
        </w:rPr>
      </w:pPr>
    </w:p>
    <w:p w:rsidR="005E5B48" w:rsidRPr="003948BA" w:rsidRDefault="00814043" w:rsidP="00A002A6">
      <w:pPr>
        <w:pStyle w:val="Heading5"/>
        <w:numPr>
          <w:ilvl w:val="2"/>
          <w:numId w:val="22"/>
        </w:numPr>
        <w:tabs>
          <w:tab w:val="left" w:pos="2000"/>
          <w:tab w:val="left" w:pos="2001"/>
        </w:tabs>
      </w:pPr>
      <w:r w:rsidRPr="003948BA">
        <w:t>Allocation/ Issue of</w:t>
      </w:r>
      <w:r w:rsidRPr="003948BA">
        <w:rPr>
          <w:spacing w:val="-10"/>
        </w:rPr>
        <w:t xml:space="preserve"> </w:t>
      </w:r>
      <w:r w:rsidRPr="003948BA">
        <w:t>Units</w:t>
      </w:r>
    </w:p>
    <w:p w:rsidR="005E5B48" w:rsidRPr="003948BA" w:rsidRDefault="00814043" w:rsidP="00A002A6">
      <w:pPr>
        <w:pStyle w:val="ListParagraph"/>
        <w:numPr>
          <w:ilvl w:val="0"/>
          <w:numId w:val="17"/>
        </w:numPr>
        <w:tabs>
          <w:tab w:val="left" w:pos="2001"/>
        </w:tabs>
        <w:spacing w:before="65"/>
        <w:ind w:right="1013"/>
        <w:jc w:val="both"/>
        <w:rPr>
          <w:sz w:val="20"/>
        </w:rPr>
      </w:pPr>
      <w:r w:rsidRPr="003948BA">
        <w:rPr>
          <w:sz w:val="20"/>
        </w:rPr>
        <w:t xml:space="preserve">The Purchase Price determined at the end of the Dealing Day for Units of the Allocation Plan(s) shall apply to all Investment Request Forms, complete in all respects, received by the Management Company at its registered address or by the Distributor at its Authorized Branch(s) during Business Hours on that Dealing Day. Any Investment Request Forms received after Business Hours will be transferred to the </w:t>
      </w:r>
      <w:r w:rsidRPr="003948BA">
        <w:rPr>
          <w:sz w:val="20"/>
        </w:rPr>
        <w:lastRenderedPageBreak/>
        <w:t>next Dealing</w:t>
      </w:r>
      <w:r w:rsidRPr="003948BA">
        <w:rPr>
          <w:spacing w:val="-8"/>
          <w:sz w:val="20"/>
        </w:rPr>
        <w:t xml:space="preserve"> </w:t>
      </w:r>
      <w:r w:rsidRPr="003948BA">
        <w:rPr>
          <w:sz w:val="20"/>
        </w:rPr>
        <w:t>Day.</w:t>
      </w:r>
    </w:p>
    <w:p w:rsidR="005E5B48" w:rsidRPr="003948BA" w:rsidRDefault="005E5B48">
      <w:pPr>
        <w:pStyle w:val="BodyText"/>
        <w:spacing w:before="7"/>
        <w:rPr>
          <w:sz w:val="19"/>
        </w:rPr>
      </w:pPr>
    </w:p>
    <w:p w:rsidR="005E5B48" w:rsidRPr="003948BA" w:rsidRDefault="00814043" w:rsidP="00A002A6">
      <w:pPr>
        <w:pStyle w:val="ListParagraph"/>
        <w:numPr>
          <w:ilvl w:val="0"/>
          <w:numId w:val="17"/>
        </w:numPr>
        <w:tabs>
          <w:tab w:val="left" w:pos="2000"/>
          <w:tab w:val="left" w:pos="2001"/>
        </w:tabs>
        <w:rPr>
          <w:sz w:val="20"/>
        </w:rPr>
      </w:pPr>
      <w:r w:rsidRPr="003948BA">
        <w:rPr>
          <w:sz w:val="20"/>
        </w:rPr>
        <w:t>In Units will be allocated and issued at the Purchase Price as determined in</w:t>
      </w:r>
      <w:r w:rsidRPr="003948BA">
        <w:rPr>
          <w:spacing w:val="5"/>
          <w:sz w:val="20"/>
        </w:rPr>
        <w:t xml:space="preserve"> </w:t>
      </w:r>
      <w:r w:rsidRPr="003948BA">
        <w:rPr>
          <w:sz w:val="20"/>
        </w:rPr>
        <w:t>clause</w:t>
      </w:r>
    </w:p>
    <w:p w:rsidR="005E5B48" w:rsidRPr="003948BA" w:rsidRDefault="00814043">
      <w:pPr>
        <w:pStyle w:val="BodyText"/>
        <w:spacing w:before="1"/>
        <w:ind w:left="2000"/>
      </w:pPr>
      <w:r w:rsidRPr="003948BA">
        <w:t>4.4.6 above after realization of Funds in the bank account of the Fund.</w:t>
      </w:r>
    </w:p>
    <w:p w:rsidR="005E5B48" w:rsidRPr="003948BA" w:rsidRDefault="005E5B48">
      <w:pPr>
        <w:pStyle w:val="BodyText"/>
        <w:spacing w:before="6"/>
        <w:rPr>
          <w:sz w:val="26"/>
        </w:rPr>
      </w:pPr>
    </w:p>
    <w:p w:rsidR="005E5B48" w:rsidRPr="003948BA" w:rsidRDefault="00814043" w:rsidP="00A002A6">
      <w:pPr>
        <w:pStyle w:val="ListParagraph"/>
        <w:numPr>
          <w:ilvl w:val="0"/>
          <w:numId w:val="17"/>
        </w:numPr>
        <w:tabs>
          <w:tab w:val="left" w:pos="2001"/>
        </w:tabs>
        <w:ind w:right="1013"/>
        <w:jc w:val="both"/>
        <w:rPr>
          <w:sz w:val="20"/>
        </w:rPr>
      </w:pPr>
      <w:r w:rsidRPr="003948BA">
        <w:rPr>
          <w:sz w:val="20"/>
        </w:rPr>
        <w:t xml:space="preserve">The Transfer Agent shall send an account statement or report to the Unit Holder each time there is an activity in the account. Such statements or report shall be sent by electronic means or ordinary mail to the Unit </w:t>
      </w:r>
      <w:r w:rsidR="00207F45" w:rsidRPr="003948BA">
        <w:rPr>
          <w:sz w:val="20"/>
        </w:rPr>
        <w:t>Holder’s</w:t>
      </w:r>
      <w:r w:rsidRPr="003948BA">
        <w:rPr>
          <w:sz w:val="20"/>
        </w:rPr>
        <w:t xml:space="preserve"> address recorded in the Register of Unit</w:t>
      </w:r>
      <w:r w:rsidRPr="003948BA">
        <w:rPr>
          <w:spacing w:val="-1"/>
          <w:sz w:val="20"/>
        </w:rPr>
        <w:t xml:space="preserve"> </w:t>
      </w:r>
      <w:r w:rsidRPr="003948BA">
        <w:rPr>
          <w:sz w:val="20"/>
        </w:rPr>
        <w:t>Holders.</w:t>
      </w:r>
    </w:p>
    <w:p w:rsidR="005E5B48" w:rsidRPr="003948BA" w:rsidRDefault="005E5B48">
      <w:pPr>
        <w:pStyle w:val="BodyText"/>
        <w:spacing w:before="2"/>
      </w:pPr>
    </w:p>
    <w:p w:rsidR="005E5B48" w:rsidRPr="003948BA" w:rsidRDefault="00814043" w:rsidP="00A002A6">
      <w:pPr>
        <w:pStyle w:val="ListParagraph"/>
        <w:numPr>
          <w:ilvl w:val="0"/>
          <w:numId w:val="17"/>
        </w:numPr>
        <w:tabs>
          <w:tab w:val="left" w:pos="2000"/>
          <w:tab w:val="left" w:pos="2001"/>
        </w:tabs>
        <w:ind w:right="1014"/>
        <w:jc w:val="both"/>
      </w:pPr>
      <w:r w:rsidRPr="003948BA">
        <w:rPr>
          <w:sz w:val="20"/>
        </w:rPr>
        <w:t>In case the Management Company announces a suspension of further issue of Units</w:t>
      </w:r>
      <w:r w:rsidR="002826E9" w:rsidRPr="003948BA">
        <w:rPr>
          <w:sz w:val="20"/>
        </w:rPr>
        <w:t xml:space="preserve"> </w:t>
      </w:r>
      <w:r w:rsidRPr="003948BA">
        <w:t>of an Allocation Plan under the Fund, it may allow existing Unit Holders of that Allocation Plan to continue acquiring Units against reinvestment of any cash or bonus / stock dividend declared on the Units held in the pertinent Allocation Plan. Also, if issue of Units of an Allocation Plan is suspended, Units for other Allocation Plan(s) under the Fund may continue unaffected.</w:t>
      </w:r>
    </w:p>
    <w:p w:rsidR="005E5B48" w:rsidRPr="003948BA" w:rsidRDefault="005E5B48">
      <w:pPr>
        <w:pStyle w:val="BodyText"/>
        <w:spacing w:before="9"/>
        <w:rPr>
          <w:sz w:val="19"/>
        </w:rPr>
      </w:pPr>
    </w:p>
    <w:p w:rsidR="005E5B48" w:rsidRPr="003948BA" w:rsidRDefault="00814043" w:rsidP="00A002A6">
      <w:pPr>
        <w:pStyle w:val="Heading5"/>
        <w:numPr>
          <w:ilvl w:val="2"/>
          <w:numId w:val="22"/>
        </w:numPr>
        <w:tabs>
          <w:tab w:val="left" w:pos="2000"/>
          <w:tab w:val="left" w:pos="2001"/>
        </w:tabs>
      </w:pPr>
      <w:r w:rsidRPr="003948BA">
        <w:t>Issuance of Physical</w:t>
      </w:r>
      <w:r w:rsidRPr="003948BA">
        <w:rPr>
          <w:spacing w:val="-11"/>
        </w:rPr>
        <w:t xml:space="preserve"> </w:t>
      </w:r>
      <w:r w:rsidRPr="003948BA">
        <w:t>Certificates</w:t>
      </w:r>
    </w:p>
    <w:p w:rsidR="005E5B48" w:rsidRPr="003948BA" w:rsidRDefault="00814043" w:rsidP="00A002A6">
      <w:pPr>
        <w:pStyle w:val="ListParagraph"/>
        <w:numPr>
          <w:ilvl w:val="0"/>
          <w:numId w:val="16"/>
        </w:numPr>
        <w:tabs>
          <w:tab w:val="left" w:pos="2000"/>
          <w:tab w:val="left" w:pos="2001"/>
        </w:tabs>
        <w:spacing w:before="123"/>
        <w:rPr>
          <w:sz w:val="20"/>
        </w:rPr>
      </w:pPr>
      <w:r w:rsidRPr="003948BA">
        <w:rPr>
          <w:sz w:val="20"/>
        </w:rPr>
        <w:t>Unit Certificates will be issued only if requested by the Unit</w:t>
      </w:r>
      <w:r w:rsidRPr="003948BA">
        <w:rPr>
          <w:spacing w:val="-24"/>
          <w:sz w:val="20"/>
        </w:rPr>
        <w:t xml:space="preserve"> </w:t>
      </w:r>
      <w:r w:rsidRPr="003948BA">
        <w:rPr>
          <w:sz w:val="20"/>
        </w:rPr>
        <w:t>Holder.</w:t>
      </w:r>
    </w:p>
    <w:p w:rsidR="005E5B48" w:rsidRPr="003948BA" w:rsidRDefault="00814043" w:rsidP="00A002A6">
      <w:pPr>
        <w:pStyle w:val="ListParagraph"/>
        <w:numPr>
          <w:ilvl w:val="0"/>
          <w:numId w:val="16"/>
        </w:numPr>
        <w:tabs>
          <w:tab w:val="left" w:pos="2001"/>
        </w:tabs>
        <w:spacing w:before="120"/>
        <w:ind w:right="1014"/>
        <w:jc w:val="both"/>
        <w:rPr>
          <w:sz w:val="20"/>
        </w:rPr>
      </w:pPr>
      <w:r w:rsidRPr="003948BA">
        <w:rPr>
          <w:sz w:val="20"/>
        </w:rPr>
        <w:t xml:space="preserve">Unit Holder can apply for the issue of Certificate by completing the prescribed application form and submitting it to the relevant Distribution Company together with a fee at the rate of </w:t>
      </w:r>
      <w:r w:rsidRPr="003948BA">
        <w:rPr>
          <w:b/>
          <w:sz w:val="20"/>
        </w:rPr>
        <w:t xml:space="preserve">Rs. 25 </w:t>
      </w:r>
      <w:r w:rsidRPr="003948BA">
        <w:rPr>
          <w:sz w:val="20"/>
        </w:rPr>
        <w:t>per Certificate or any other amount as determined by the Management Company from time to</w:t>
      </w:r>
      <w:r w:rsidRPr="003948BA">
        <w:rPr>
          <w:spacing w:val="-12"/>
          <w:sz w:val="20"/>
        </w:rPr>
        <w:t xml:space="preserve"> </w:t>
      </w:r>
      <w:r w:rsidRPr="003948BA">
        <w:rPr>
          <w:sz w:val="20"/>
        </w:rPr>
        <w:t>time.</w:t>
      </w:r>
    </w:p>
    <w:p w:rsidR="005E5B48" w:rsidRPr="003948BA" w:rsidRDefault="00814043" w:rsidP="00A002A6">
      <w:pPr>
        <w:pStyle w:val="ListParagraph"/>
        <w:numPr>
          <w:ilvl w:val="0"/>
          <w:numId w:val="16"/>
        </w:numPr>
        <w:tabs>
          <w:tab w:val="left" w:pos="2001"/>
        </w:tabs>
        <w:spacing w:before="122"/>
        <w:ind w:right="1010"/>
        <w:jc w:val="both"/>
        <w:rPr>
          <w:sz w:val="20"/>
        </w:rPr>
      </w:pPr>
      <w:r w:rsidRPr="003948BA">
        <w:rPr>
          <w:sz w:val="20"/>
        </w:rPr>
        <w:t>The Certificate will be posted at the applicant's risk within 21 Business Days after the request for the Certificate has been made to the address of the Unit Holder or to the address of the first named Joint Unit Holder, if the relevant Unit or Units are jointly held.</w:t>
      </w:r>
    </w:p>
    <w:p w:rsidR="005E5B48" w:rsidRPr="003948BA" w:rsidRDefault="00814043" w:rsidP="00A002A6">
      <w:pPr>
        <w:pStyle w:val="ListParagraph"/>
        <w:numPr>
          <w:ilvl w:val="0"/>
          <w:numId w:val="16"/>
        </w:numPr>
        <w:tabs>
          <w:tab w:val="left" w:pos="2001"/>
        </w:tabs>
        <w:spacing w:before="120"/>
        <w:ind w:right="1017"/>
        <w:jc w:val="both"/>
        <w:rPr>
          <w:sz w:val="20"/>
        </w:rPr>
      </w:pPr>
      <w:r w:rsidRPr="003948BA">
        <w:rPr>
          <w:sz w:val="20"/>
        </w:rPr>
        <w:t>The Certificate will be available in such denomination as Management Company and the Trustee decide from time to time. Unless, the Unit Holder has instructed to the contrary, the minimum number of Certificates will be</w:t>
      </w:r>
      <w:r w:rsidRPr="003948BA">
        <w:rPr>
          <w:spacing w:val="-12"/>
          <w:sz w:val="20"/>
        </w:rPr>
        <w:t xml:space="preserve"> </w:t>
      </w:r>
      <w:r w:rsidRPr="003948BA">
        <w:rPr>
          <w:sz w:val="20"/>
        </w:rPr>
        <w:t>issued.</w:t>
      </w:r>
    </w:p>
    <w:p w:rsidR="005E5B48" w:rsidRPr="003948BA" w:rsidRDefault="00814043" w:rsidP="00A002A6">
      <w:pPr>
        <w:pStyle w:val="ListParagraph"/>
        <w:numPr>
          <w:ilvl w:val="0"/>
          <w:numId w:val="16"/>
        </w:numPr>
        <w:tabs>
          <w:tab w:val="left" w:pos="2001"/>
        </w:tabs>
        <w:spacing w:before="119"/>
        <w:ind w:right="1031"/>
        <w:jc w:val="both"/>
        <w:rPr>
          <w:sz w:val="20"/>
        </w:rPr>
      </w:pPr>
      <w:r w:rsidRPr="003948BA">
        <w:rPr>
          <w:sz w:val="20"/>
        </w:rPr>
        <w:t>A Unit or any fraction thereof shall not be represented by more than one Certificate at any one</w:t>
      </w:r>
      <w:r w:rsidRPr="003948BA">
        <w:rPr>
          <w:spacing w:val="-7"/>
          <w:sz w:val="20"/>
        </w:rPr>
        <w:t xml:space="preserve"> </w:t>
      </w:r>
      <w:r w:rsidRPr="003948BA">
        <w:rPr>
          <w:sz w:val="20"/>
        </w:rPr>
        <w:t>time.</w:t>
      </w:r>
    </w:p>
    <w:p w:rsidR="005E5B48" w:rsidRPr="003948BA" w:rsidRDefault="005E5B48">
      <w:pPr>
        <w:pStyle w:val="BodyText"/>
        <w:spacing w:before="6"/>
      </w:pPr>
    </w:p>
    <w:p w:rsidR="005E5B48" w:rsidRPr="003948BA" w:rsidRDefault="00814043" w:rsidP="00A002A6">
      <w:pPr>
        <w:pStyle w:val="Heading5"/>
        <w:numPr>
          <w:ilvl w:val="2"/>
          <w:numId w:val="22"/>
        </w:numPr>
        <w:tabs>
          <w:tab w:val="left" w:pos="2000"/>
          <w:tab w:val="left" w:pos="2001"/>
        </w:tabs>
      </w:pPr>
      <w:r w:rsidRPr="003948BA">
        <w:t>Replacement of</w:t>
      </w:r>
      <w:r w:rsidRPr="003948BA">
        <w:rPr>
          <w:spacing w:val="-6"/>
        </w:rPr>
        <w:t xml:space="preserve"> </w:t>
      </w:r>
      <w:r w:rsidRPr="003948BA">
        <w:t>Certificates</w:t>
      </w:r>
    </w:p>
    <w:p w:rsidR="005E5B48" w:rsidRPr="003948BA" w:rsidRDefault="00814043" w:rsidP="00A002A6">
      <w:pPr>
        <w:pStyle w:val="ListParagraph"/>
        <w:numPr>
          <w:ilvl w:val="0"/>
          <w:numId w:val="15"/>
        </w:numPr>
        <w:tabs>
          <w:tab w:val="left" w:pos="2001"/>
        </w:tabs>
        <w:spacing w:before="128"/>
        <w:ind w:right="1013"/>
        <w:jc w:val="both"/>
        <w:rPr>
          <w:sz w:val="20"/>
        </w:rPr>
      </w:pPr>
      <w:r w:rsidRPr="003948BA">
        <w:rPr>
          <w:sz w:val="20"/>
        </w:rPr>
        <w:t>The Transfer Agent or Management Company may replace Certificates, which are defaced, mutilated, lost or destroyed on application received by them from the Unit Holder on the prescribed form on the payment of all costs and on such terms as to evidence, indemnity and security as may be required. Any defaced or mutilated Certificate must be surrendered before a new Certificate is</w:t>
      </w:r>
      <w:r w:rsidRPr="003948BA">
        <w:rPr>
          <w:spacing w:val="-29"/>
          <w:sz w:val="20"/>
        </w:rPr>
        <w:t xml:space="preserve"> </w:t>
      </w:r>
      <w:r w:rsidRPr="003948BA">
        <w:rPr>
          <w:sz w:val="20"/>
        </w:rPr>
        <w:t>issued.</w:t>
      </w:r>
    </w:p>
    <w:p w:rsidR="005E5B48" w:rsidRPr="003948BA" w:rsidRDefault="00814043" w:rsidP="00A002A6">
      <w:pPr>
        <w:pStyle w:val="ListParagraph"/>
        <w:numPr>
          <w:ilvl w:val="0"/>
          <w:numId w:val="15"/>
        </w:numPr>
        <w:tabs>
          <w:tab w:val="left" w:pos="2001"/>
        </w:tabs>
        <w:spacing w:before="117"/>
        <w:ind w:right="1020"/>
        <w:jc w:val="both"/>
        <w:rPr>
          <w:sz w:val="20"/>
        </w:rPr>
      </w:pPr>
      <w:r w:rsidRPr="003948BA">
        <w:rPr>
          <w:sz w:val="20"/>
        </w:rPr>
        <w:t>The Registrar with the consent of the Trustee may dispense with the production of any Certificate that shall have become lost, stolen or destroyed upon compliance by the Unit Holder(s) with the like requirements to those arising in the case of an application by him for the replacement</w:t>
      </w:r>
      <w:r w:rsidRPr="003948BA">
        <w:rPr>
          <w:spacing w:val="-10"/>
          <w:sz w:val="20"/>
        </w:rPr>
        <w:t xml:space="preserve"> </w:t>
      </w:r>
      <w:r w:rsidRPr="003948BA">
        <w:rPr>
          <w:sz w:val="20"/>
        </w:rPr>
        <w:t>thereof</w:t>
      </w:r>
    </w:p>
    <w:p w:rsidR="005E5B48" w:rsidRPr="003948BA" w:rsidRDefault="00814043" w:rsidP="00A002A6">
      <w:pPr>
        <w:pStyle w:val="ListParagraph"/>
        <w:numPr>
          <w:ilvl w:val="0"/>
          <w:numId w:val="15"/>
        </w:numPr>
        <w:tabs>
          <w:tab w:val="left" w:pos="2001"/>
        </w:tabs>
        <w:spacing w:before="122"/>
        <w:ind w:right="1012"/>
        <w:jc w:val="both"/>
        <w:rPr>
          <w:sz w:val="20"/>
        </w:rPr>
      </w:pPr>
      <w:r w:rsidRPr="003948BA">
        <w:rPr>
          <w:sz w:val="20"/>
        </w:rPr>
        <w:t>The Unit Holder shall on application on prescribed form be entitled to consolidate the entire holding in the Fund into one (01) Certificate upon surrender of existing Certificates.</w:t>
      </w:r>
    </w:p>
    <w:p w:rsidR="005E5B48" w:rsidRPr="003948BA" w:rsidRDefault="00814043" w:rsidP="00A002A6">
      <w:pPr>
        <w:pStyle w:val="ListParagraph"/>
        <w:numPr>
          <w:ilvl w:val="0"/>
          <w:numId w:val="15"/>
        </w:numPr>
        <w:tabs>
          <w:tab w:val="left" w:pos="2001"/>
        </w:tabs>
        <w:spacing w:before="114" w:line="244" w:lineRule="auto"/>
        <w:ind w:right="1014"/>
        <w:jc w:val="both"/>
        <w:rPr>
          <w:sz w:val="20"/>
        </w:rPr>
      </w:pPr>
      <w:r w:rsidRPr="003948BA">
        <w:rPr>
          <w:sz w:val="20"/>
        </w:rPr>
        <w:t xml:space="preserve">Each new issue of Certificates will require payment of </w:t>
      </w:r>
      <w:r w:rsidRPr="003948BA">
        <w:rPr>
          <w:b/>
          <w:sz w:val="20"/>
        </w:rPr>
        <w:t xml:space="preserve">Rs. 25 </w:t>
      </w:r>
      <w:r w:rsidRPr="003948BA">
        <w:rPr>
          <w:sz w:val="20"/>
        </w:rPr>
        <w:t>per Certificate, subject to revisions of fee from time to time by the Management</w:t>
      </w:r>
      <w:r w:rsidRPr="003948BA">
        <w:rPr>
          <w:spacing w:val="-21"/>
          <w:sz w:val="20"/>
        </w:rPr>
        <w:t xml:space="preserve"> </w:t>
      </w:r>
      <w:r w:rsidRPr="003948BA">
        <w:rPr>
          <w:sz w:val="20"/>
        </w:rPr>
        <w:t>Company.</w:t>
      </w:r>
    </w:p>
    <w:p w:rsidR="005E5B48" w:rsidRPr="003948BA" w:rsidRDefault="005E5B48">
      <w:pPr>
        <w:pStyle w:val="BodyText"/>
        <w:spacing w:before="5"/>
        <w:rPr>
          <w:sz w:val="28"/>
        </w:rPr>
      </w:pPr>
    </w:p>
    <w:p w:rsidR="005E5B48" w:rsidRPr="003948BA" w:rsidRDefault="00814043" w:rsidP="00A002A6">
      <w:pPr>
        <w:pStyle w:val="Heading5"/>
        <w:numPr>
          <w:ilvl w:val="2"/>
          <w:numId w:val="22"/>
        </w:numPr>
        <w:tabs>
          <w:tab w:val="left" w:pos="2001"/>
        </w:tabs>
      </w:pPr>
      <w:r w:rsidRPr="003948BA">
        <w:t>Issuance of Units in Book Entry form in</w:t>
      </w:r>
      <w:r w:rsidRPr="003948BA">
        <w:rPr>
          <w:spacing w:val="-17"/>
        </w:rPr>
        <w:t xml:space="preserve"> </w:t>
      </w:r>
      <w:r w:rsidRPr="003948BA">
        <w:t>CDS</w:t>
      </w:r>
    </w:p>
    <w:p w:rsidR="005E5B48" w:rsidRPr="003948BA" w:rsidRDefault="00814043">
      <w:pPr>
        <w:pStyle w:val="BodyText"/>
        <w:spacing w:before="68"/>
        <w:ind w:left="2000" w:right="1010"/>
        <w:jc w:val="both"/>
      </w:pPr>
      <w:r w:rsidRPr="003948BA">
        <w:t>Unit Holder may obtain Units of Allocation Plans under the Fund in Book Entry form in CDS, if and /or when the Fund becomes CDS eligible. The Issuance of Units in CDS shall be made in accordance with the procedure laid down in CDCPL Regulations.</w:t>
      </w:r>
    </w:p>
    <w:p w:rsidR="005E5B48" w:rsidRPr="003948BA" w:rsidRDefault="005E5B48">
      <w:pPr>
        <w:pStyle w:val="BodyText"/>
        <w:spacing w:before="9"/>
        <w:rPr>
          <w:sz w:val="31"/>
        </w:rPr>
      </w:pPr>
    </w:p>
    <w:p w:rsidR="005E5B48" w:rsidRPr="003948BA" w:rsidRDefault="00814043" w:rsidP="00A002A6">
      <w:pPr>
        <w:pStyle w:val="Heading5"/>
        <w:numPr>
          <w:ilvl w:val="1"/>
          <w:numId w:val="22"/>
        </w:numPr>
        <w:tabs>
          <w:tab w:val="left" w:pos="2000"/>
          <w:tab w:val="left" w:pos="2001"/>
        </w:tabs>
        <w:spacing w:before="1"/>
      </w:pPr>
      <w:bookmarkStart w:id="55" w:name="_bookmark45"/>
      <w:bookmarkEnd w:id="55"/>
      <w:r w:rsidRPr="003948BA">
        <w:t>Procedure for Redemption of</w:t>
      </w:r>
      <w:r w:rsidRPr="003948BA">
        <w:rPr>
          <w:spacing w:val="-10"/>
        </w:rPr>
        <w:t xml:space="preserve"> </w:t>
      </w:r>
      <w:r w:rsidRPr="003948BA">
        <w:t>Units</w:t>
      </w:r>
    </w:p>
    <w:p w:rsidR="005E5B48" w:rsidRPr="003948BA" w:rsidRDefault="005E5B48">
      <w:pPr>
        <w:pStyle w:val="BodyText"/>
        <w:spacing w:before="7"/>
        <w:rPr>
          <w:b/>
        </w:rPr>
      </w:pPr>
    </w:p>
    <w:p w:rsidR="005E5B48" w:rsidRPr="003948BA" w:rsidRDefault="00814043" w:rsidP="00A002A6">
      <w:pPr>
        <w:pStyle w:val="ListParagraph"/>
        <w:numPr>
          <w:ilvl w:val="2"/>
          <w:numId w:val="14"/>
        </w:numPr>
        <w:tabs>
          <w:tab w:val="left" w:pos="2000"/>
          <w:tab w:val="left" w:pos="2001"/>
        </w:tabs>
        <w:spacing w:before="1"/>
        <w:ind w:left="2000"/>
        <w:rPr>
          <w:b/>
          <w:sz w:val="20"/>
        </w:rPr>
      </w:pPr>
      <w:r w:rsidRPr="003948BA">
        <w:rPr>
          <w:b/>
          <w:sz w:val="20"/>
        </w:rPr>
        <w:lastRenderedPageBreak/>
        <w:t>Who Can</w:t>
      </w:r>
      <w:r w:rsidRPr="003948BA">
        <w:rPr>
          <w:b/>
          <w:spacing w:val="-6"/>
          <w:sz w:val="20"/>
        </w:rPr>
        <w:t xml:space="preserve"> </w:t>
      </w:r>
      <w:r w:rsidRPr="003948BA">
        <w:rPr>
          <w:b/>
          <w:sz w:val="20"/>
        </w:rPr>
        <w:t>Apply?</w:t>
      </w:r>
    </w:p>
    <w:p w:rsidR="001E640E" w:rsidRDefault="001E640E">
      <w:pPr>
        <w:pStyle w:val="BodyText"/>
        <w:ind w:left="2000"/>
      </w:pPr>
    </w:p>
    <w:p w:rsidR="005E5B48" w:rsidRPr="003948BA" w:rsidRDefault="00814043">
      <w:pPr>
        <w:pStyle w:val="BodyText"/>
        <w:ind w:left="2000"/>
      </w:pPr>
      <w:r w:rsidRPr="003948BA">
        <w:t xml:space="preserve">During the Initial </w:t>
      </w:r>
      <w:r w:rsidR="001E640E">
        <w:t xml:space="preserve">Offering </w:t>
      </w:r>
      <w:r w:rsidRPr="003948BA">
        <w:t>Period the Units shall not be redeemed.</w:t>
      </w:r>
    </w:p>
    <w:p w:rsidR="005E5B48" w:rsidRPr="003948BA" w:rsidRDefault="005E5B48">
      <w:pPr>
        <w:pStyle w:val="BodyText"/>
        <w:spacing w:before="5"/>
        <w:rPr>
          <w:sz w:val="28"/>
        </w:rPr>
      </w:pPr>
    </w:p>
    <w:p w:rsidR="005E5B48" w:rsidRPr="003948BA" w:rsidRDefault="00814043">
      <w:pPr>
        <w:pStyle w:val="BodyText"/>
        <w:spacing w:before="1"/>
        <w:ind w:left="2000" w:right="1014"/>
        <w:jc w:val="both"/>
      </w:pPr>
      <w:r w:rsidRPr="003948BA">
        <w:t xml:space="preserve">After the Initial </w:t>
      </w:r>
      <w:r w:rsidR="001E640E">
        <w:t xml:space="preserve">Offering </w:t>
      </w:r>
      <w:r w:rsidRPr="003948BA">
        <w:t>Period all Unit Holders are eligible to redeem the said Units (subject to applicable Contingent load</w:t>
      </w:r>
      <w:r w:rsidR="00C95432" w:rsidRPr="003948BA">
        <w:t xml:space="preserve"> or Back End Load</w:t>
      </w:r>
      <w:r w:rsidR="004F5E92" w:rsidRPr="003948BA">
        <w:t xml:space="preserve"> </w:t>
      </w:r>
      <w:r w:rsidR="00C95432" w:rsidRPr="003948BA">
        <w:t>(Deferred Sales Load)</w:t>
      </w:r>
      <w:r w:rsidRPr="003948BA">
        <w:t xml:space="preserve"> as specified in Annexure B</w:t>
      </w:r>
      <w:r w:rsidR="001E640E">
        <w:t xml:space="preserve"> of the respective Allocation Plan</w:t>
      </w:r>
      <w:r w:rsidRPr="003948BA">
        <w:t>).</w:t>
      </w:r>
    </w:p>
    <w:p w:rsidR="005E5B48" w:rsidRPr="003948BA" w:rsidRDefault="005E5B48">
      <w:pPr>
        <w:pStyle w:val="BodyText"/>
        <w:spacing w:before="1"/>
      </w:pPr>
    </w:p>
    <w:p w:rsidR="005E5B48" w:rsidRPr="003948BA" w:rsidRDefault="00814043" w:rsidP="002826E9">
      <w:pPr>
        <w:pStyle w:val="BodyText"/>
        <w:ind w:left="2000" w:right="1015"/>
        <w:jc w:val="both"/>
      </w:pPr>
      <w:r w:rsidRPr="003948BA">
        <w:t>Furthermore, the units shall not be (i) redeemable and/or reallocated during the book closure of (i) the Fund and/or (ii) the underlying CIS. (ii) and/or due to suspension of redemption under any of the underlying CIS.</w:t>
      </w:r>
    </w:p>
    <w:p w:rsidR="005A03AE" w:rsidRPr="003948BA" w:rsidRDefault="005A03AE" w:rsidP="002826E9">
      <w:pPr>
        <w:pStyle w:val="BodyText"/>
        <w:ind w:left="2000" w:right="1015"/>
        <w:jc w:val="both"/>
      </w:pPr>
    </w:p>
    <w:p w:rsidR="005E5B48" w:rsidRPr="003948BA" w:rsidRDefault="00814043" w:rsidP="00A002A6">
      <w:pPr>
        <w:pStyle w:val="Heading5"/>
        <w:numPr>
          <w:ilvl w:val="2"/>
          <w:numId w:val="14"/>
        </w:numPr>
        <w:tabs>
          <w:tab w:val="left" w:pos="2000"/>
          <w:tab w:val="left" w:pos="2001"/>
        </w:tabs>
        <w:spacing w:line="223" w:lineRule="exact"/>
        <w:ind w:left="2000"/>
      </w:pPr>
      <w:r w:rsidRPr="003948BA">
        <w:t>Redemption Application</w:t>
      </w:r>
      <w:r w:rsidRPr="003948BA">
        <w:rPr>
          <w:spacing w:val="-5"/>
        </w:rPr>
        <w:t xml:space="preserve"> </w:t>
      </w:r>
      <w:r w:rsidRPr="003948BA">
        <w:t>Procedure</w:t>
      </w:r>
    </w:p>
    <w:p w:rsidR="005E5B48" w:rsidRPr="003948BA" w:rsidRDefault="005E5B48">
      <w:pPr>
        <w:pStyle w:val="BodyText"/>
        <w:spacing w:before="4"/>
        <w:rPr>
          <w:b/>
          <w:sz w:val="21"/>
        </w:rPr>
      </w:pPr>
    </w:p>
    <w:p w:rsidR="005E5B48" w:rsidRPr="003948BA" w:rsidRDefault="00814043" w:rsidP="00A002A6">
      <w:pPr>
        <w:pStyle w:val="ListParagraph"/>
        <w:numPr>
          <w:ilvl w:val="0"/>
          <w:numId w:val="13"/>
        </w:numPr>
        <w:tabs>
          <w:tab w:val="left" w:pos="2001"/>
        </w:tabs>
        <w:ind w:right="1016"/>
        <w:jc w:val="both"/>
        <w:rPr>
          <w:sz w:val="20"/>
        </w:rPr>
      </w:pPr>
      <w:r w:rsidRPr="003948BA">
        <w:rPr>
          <w:sz w:val="20"/>
        </w:rPr>
        <w:t>The Trustee shall at any time during the life of the Fund, on the instructions of the Management Company, authorize redemption of Units of Allocation Plan(s), out of the Fund Property of the respective Allocation</w:t>
      </w:r>
      <w:r w:rsidRPr="003948BA">
        <w:rPr>
          <w:spacing w:val="-12"/>
          <w:sz w:val="20"/>
        </w:rPr>
        <w:t xml:space="preserve"> </w:t>
      </w:r>
      <w:r w:rsidRPr="003948BA">
        <w:rPr>
          <w:sz w:val="20"/>
        </w:rPr>
        <w:t>Plan(s).</w:t>
      </w:r>
    </w:p>
    <w:p w:rsidR="005E5B48" w:rsidRPr="003948BA" w:rsidRDefault="005E5B48">
      <w:pPr>
        <w:pStyle w:val="BodyText"/>
        <w:spacing w:before="6"/>
      </w:pPr>
    </w:p>
    <w:p w:rsidR="005E5B48" w:rsidRPr="003948BA" w:rsidRDefault="00814043" w:rsidP="00A002A6">
      <w:pPr>
        <w:pStyle w:val="ListParagraph"/>
        <w:numPr>
          <w:ilvl w:val="0"/>
          <w:numId w:val="13"/>
        </w:numPr>
        <w:tabs>
          <w:tab w:val="left" w:pos="2001"/>
        </w:tabs>
        <w:ind w:right="1005" w:hanging="504"/>
        <w:jc w:val="both"/>
        <w:rPr>
          <w:sz w:val="20"/>
        </w:rPr>
      </w:pPr>
      <w:r w:rsidRPr="003948BA">
        <w:rPr>
          <w:sz w:val="20"/>
        </w:rPr>
        <w:t>Request for Redemption of Units of Allocation Plan(s) under the Fund shall be made by completing the prescribed redemption form and the same is received at the Authorized Branch or office of the Distributor on a Dealing Day during the Business Hours as may be announced by the Management Company from time to time. The Distributor may retain a copy of the Redemption Form and a copy may also be supplied to the Registrar, if so required by the Management Company.</w:t>
      </w:r>
      <w:r w:rsidRPr="003948BA">
        <w:rPr>
          <w:spacing w:val="-29"/>
          <w:sz w:val="20"/>
        </w:rPr>
        <w:t xml:space="preserve"> </w:t>
      </w:r>
      <w:r w:rsidRPr="003948BA">
        <w:rPr>
          <w:sz w:val="20"/>
        </w:rPr>
        <w:t>.</w:t>
      </w:r>
    </w:p>
    <w:p w:rsidR="005E5B48" w:rsidRPr="003948BA" w:rsidRDefault="005E5B48">
      <w:pPr>
        <w:pStyle w:val="BodyText"/>
        <w:spacing w:before="10"/>
      </w:pPr>
    </w:p>
    <w:p w:rsidR="005E5B48" w:rsidRPr="003948BA" w:rsidRDefault="00814043" w:rsidP="00A002A6">
      <w:pPr>
        <w:pStyle w:val="ListParagraph"/>
        <w:numPr>
          <w:ilvl w:val="0"/>
          <w:numId w:val="13"/>
        </w:numPr>
        <w:tabs>
          <w:tab w:val="left" w:pos="2001"/>
        </w:tabs>
        <w:ind w:right="1023" w:hanging="550"/>
        <w:jc w:val="both"/>
        <w:rPr>
          <w:sz w:val="20"/>
        </w:rPr>
      </w:pPr>
      <w:r w:rsidRPr="003948BA">
        <w:rPr>
          <w:sz w:val="20"/>
        </w:rPr>
        <w:t>In case of application for redemption by joint Unit Holders, unless otherwise specified by the joint holders, such application should be signed by all the joint Holders as per their specimen signatures provided at the time of opening of the account within the Unit Holder Register, through the investor account opening</w:t>
      </w:r>
      <w:r w:rsidRPr="003948BA">
        <w:rPr>
          <w:spacing w:val="-17"/>
          <w:sz w:val="20"/>
        </w:rPr>
        <w:t xml:space="preserve"> </w:t>
      </w:r>
      <w:r w:rsidRPr="003948BA">
        <w:rPr>
          <w:sz w:val="20"/>
        </w:rPr>
        <w:t>Form.</w:t>
      </w:r>
    </w:p>
    <w:p w:rsidR="005E5B48" w:rsidRPr="003948BA" w:rsidRDefault="005E5B48">
      <w:pPr>
        <w:pStyle w:val="BodyText"/>
        <w:spacing w:before="10"/>
      </w:pPr>
    </w:p>
    <w:p w:rsidR="005E5B48" w:rsidRPr="003948BA" w:rsidRDefault="00814043" w:rsidP="00A002A6">
      <w:pPr>
        <w:pStyle w:val="ListParagraph"/>
        <w:numPr>
          <w:ilvl w:val="0"/>
          <w:numId w:val="13"/>
        </w:numPr>
        <w:tabs>
          <w:tab w:val="left" w:pos="2001"/>
        </w:tabs>
        <w:ind w:right="1014" w:hanging="559"/>
        <w:jc w:val="both"/>
        <w:rPr>
          <w:sz w:val="20"/>
        </w:rPr>
      </w:pPr>
      <w:r w:rsidRPr="003948BA">
        <w:rPr>
          <w:sz w:val="20"/>
        </w:rPr>
        <w:t xml:space="preserve">The Distribution Company or the Registrar shall verify the particulars given in the application for Redemption of Units. The signature of any Unit Holder or joint Unit Holder on any document required to be signed by him under or in connection with the application for redemption of Units may be verified by Management Company or the Registrar or otherwise authenticated to their reasonable satisfaction. In case of submission of electronic on-line redemptions the Unit </w:t>
      </w:r>
      <w:proofErr w:type="spellStart"/>
      <w:r w:rsidRPr="003948BA">
        <w:rPr>
          <w:sz w:val="20"/>
        </w:rPr>
        <w:t>Holder‟s</w:t>
      </w:r>
      <w:proofErr w:type="spellEnd"/>
      <w:r w:rsidRPr="003948BA">
        <w:rPr>
          <w:sz w:val="20"/>
        </w:rPr>
        <w:t xml:space="preserve"> user ID and password will authenticate his</w:t>
      </w:r>
      <w:r w:rsidRPr="003948BA">
        <w:rPr>
          <w:spacing w:val="-11"/>
          <w:sz w:val="20"/>
        </w:rPr>
        <w:t xml:space="preserve"> </w:t>
      </w:r>
      <w:r w:rsidRPr="003948BA">
        <w:rPr>
          <w:sz w:val="20"/>
        </w:rPr>
        <w:t>identity.</w:t>
      </w:r>
    </w:p>
    <w:p w:rsidR="005E5B48" w:rsidRPr="003948BA" w:rsidRDefault="005E5B48">
      <w:pPr>
        <w:pStyle w:val="BodyText"/>
        <w:spacing w:before="8"/>
      </w:pPr>
    </w:p>
    <w:p w:rsidR="005E5B48" w:rsidRPr="003948BA" w:rsidRDefault="00814043" w:rsidP="00A002A6">
      <w:pPr>
        <w:pStyle w:val="ListParagraph"/>
        <w:numPr>
          <w:ilvl w:val="0"/>
          <w:numId w:val="13"/>
        </w:numPr>
        <w:tabs>
          <w:tab w:val="left" w:pos="2001"/>
        </w:tabs>
        <w:spacing w:before="1"/>
        <w:ind w:right="1021" w:hanging="516"/>
        <w:jc w:val="both"/>
        <w:rPr>
          <w:sz w:val="20"/>
        </w:rPr>
      </w:pPr>
      <w:r w:rsidRPr="003948BA">
        <w:rPr>
          <w:sz w:val="20"/>
        </w:rPr>
        <w:t>The Unit Holder will receive a note confirming the receipt of the application for redemption from the relevant Distribution</w:t>
      </w:r>
      <w:r w:rsidRPr="003948BA">
        <w:rPr>
          <w:spacing w:val="-12"/>
          <w:sz w:val="20"/>
        </w:rPr>
        <w:t xml:space="preserve"> </w:t>
      </w:r>
      <w:r w:rsidRPr="003948BA">
        <w:rPr>
          <w:sz w:val="20"/>
        </w:rPr>
        <w:t>Office.</w:t>
      </w:r>
    </w:p>
    <w:p w:rsidR="005E5B48" w:rsidRPr="003948BA" w:rsidRDefault="005E5B48">
      <w:pPr>
        <w:pStyle w:val="BodyText"/>
        <w:spacing w:before="11"/>
      </w:pPr>
    </w:p>
    <w:p w:rsidR="005E5B48" w:rsidRPr="003948BA" w:rsidRDefault="00814043" w:rsidP="00A002A6">
      <w:pPr>
        <w:pStyle w:val="ListParagraph"/>
        <w:numPr>
          <w:ilvl w:val="0"/>
          <w:numId w:val="13"/>
        </w:numPr>
        <w:tabs>
          <w:tab w:val="left" w:pos="2001"/>
        </w:tabs>
        <w:ind w:right="1010" w:hanging="559"/>
        <w:jc w:val="both"/>
        <w:rPr>
          <w:sz w:val="20"/>
        </w:rPr>
      </w:pPr>
      <w:r w:rsidRPr="003948BA">
        <w:rPr>
          <w:sz w:val="20"/>
        </w:rPr>
        <w:t>If subsequent to receipt of the redemption application by the Distributor, but prior to the redemption of the Units, the application is found by the Management Company or the Registrar or the Distributor to be incomplete or incorrect in any material manner, the Management Company or Registrar or the Distributor will advise the applicant to remove the discrepancy. In the meanwhile, the application will be held in abeyance for fifteen days. In the event the discrepancy is not removed in the said fifteen days, the application for redemption will be cancelled treating the same as null and void. The Unit Holder will then have to submit a fresh application for Redemption of</w:t>
      </w:r>
      <w:r w:rsidRPr="003948BA">
        <w:rPr>
          <w:spacing w:val="-35"/>
          <w:sz w:val="20"/>
        </w:rPr>
        <w:t xml:space="preserve"> </w:t>
      </w:r>
      <w:r w:rsidRPr="003948BA">
        <w:rPr>
          <w:sz w:val="20"/>
        </w:rPr>
        <w:t>Units.</w:t>
      </w:r>
    </w:p>
    <w:p w:rsidR="005E5B48" w:rsidRPr="003948BA" w:rsidRDefault="005E5B48">
      <w:pPr>
        <w:pStyle w:val="BodyText"/>
        <w:spacing w:before="8"/>
      </w:pPr>
    </w:p>
    <w:p w:rsidR="005E5B48" w:rsidRPr="003948BA" w:rsidRDefault="00814043" w:rsidP="00A002A6">
      <w:pPr>
        <w:pStyle w:val="ListParagraph"/>
        <w:numPr>
          <w:ilvl w:val="0"/>
          <w:numId w:val="13"/>
        </w:numPr>
        <w:tabs>
          <w:tab w:val="left" w:pos="2001"/>
        </w:tabs>
        <w:ind w:right="1026" w:hanging="605"/>
        <w:jc w:val="both"/>
        <w:rPr>
          <w:sz w:val="20"/>
        </w:rPr>
      </w:pPr>
      <w:r w:rsidRPr="003948BA">
        <w:rPr>
          <w:sz w:val="20"/>
        </w:rPr>
        <w:t>The Management Company shall ensure all valid redemption request are paid based on ranking of the request in a</w:t>
      </w:r>
      <w:r w:rsidRPr="003948BA">
        <w:rPr>
          <w:spacing w:val="-9"/>
          <w:sz w:val="20"/>
        </w:rPr>
        <w:t xml:space="preserve"> </w:t>
      </w:r>
      <w:r w:rsidRPr="003948BA">
        <w:rPr>
          <w:sz w:val="20"/>
        </w:rPr>
        <w:t>queue.</w:t>
      </w:r>
    </w:p>
    <w:p w:rsidR="005E5B48" w:rsidRPr="003948BA" w:rsidRDefault="005E5B48">
      <w:pPr>
        <w:pStyle w:val="BodyText"/>
        <w:spacing w:before="9"/>
      </w:pPr>
    </w:p>
    <w:p w:rsidR="005E5B48" w:rsidRPr="003948BA" w:rsidRDefault="00814043" w:rsidP="00A002A6">
      <w:pPr>
        <w:pStyle w:val="ListParagraph"/>
        <w:numPr>
          <w:ilvl w:val="0"/>
          <w:numId w:val="13"/>
        </w:numPr>
        <w:tabs>
          <w:tab w:val="left" w:pos="2001"/>
        </w:tabs>
        <w:ind w:right="1013" w:hanging="648"/>
        <w:jc w:val="both"/>
        <w:rPr>
          <w:sz w:val="20"/>
        </w:rPr>
      </w:pPr>
      <w:r w:rsidRPr="003948BA">
        <w:rPr>
          <w:sz w:val="20"/>
        </w:rPr>
        <w:t xml:space="preserve">The amount payable on redemption shall be paid to the Unit Holder or first named joint Unit Holder by dispatching a cheque/ bank draft/ pay order for the amount to the registered address of the Unit Holder or may be paid to the Unit Holder through Electronic Bank transfer to the Unit Holder's designated bank account as mentioned in the Investor Account Opening Form or Redemption form within six Business Days  from the date of presentation of the duly completed Redemption form, electronic or otherwise, at the Authorized Branch or office of the Distributor or the Management Company. The amount may also be paid to the third party upon instruction of the Unit Holder, if allowed by the Management Company, through Electronic Bank transfer to </w:t>
      </w:r>
      <w:r w:rsidRPr="003948BA">
        <w:rPr>
          <w:sz w:val="20"/>
        </w:rPr>
        <w:lastRenderedPageBreak/>
        <w:t>the Unit Holder's designated bank account as mentioned in the Investor Account Opening Form or Redemption form.</w:t>
      </w:r>
    </w:p>
    <w:p w:rsidR="005E5B48" w:rsidRPr="003948BA" w:rsidRDefault="005E5B48">
      <w:pPr>
        <w:pStyle w:val="BodyText"/>
        <w:spacing w:before="10"/>
      </w:pPr>
    </w:p>
    <w:p w:rsidR="005E5B48" w:rsidRPr="003948BA" w:rsidRDefault="00814043" w:rsidP="00A002A6">
      <w:pPr>
        <w:pStyle w:val="ListParagraph"/>
        <w:numPr>
          <w:ilvl w:val="0"/>
          <w:numId w:val="13"/>
        </w:numPr>
        <w:tabs>
          <w:tab w:val="left" w:pos="2001"/>
        </w:tabs>
        <w:ind w:right="1026" w:hanging="559"/>
        <w:jc w:val="both"/>
        <w:rPr>
          <w:sz w:val="20"/>
        </w:rPr>
      </w:pPr>
      <w:r w:rsidRPr="003948BA">
        <w:rPr>
          <w:sz w:val="20"/>
        </w:rPr>
        <w:t>No Money shall be paid to any intermediary except the Unit Holder or his authorized representative.</w:t>
      </w:r>
    </w:p>
    <w:p w:rsidR="005E5B48" w:rsidRPr="003948BA" w:rsidRDefault="005E5B48">
      <w:pPr>
        <w:pStyle w:val="BodyText"/>
        <w:spacing w:before="8"/>
      </w:pPr>
    </w:p>
    <w:p w:rsidR="005E5B48" w:rsidRPr="003948BA" w:rsidRDefault="00814043" w:rsidP="00A002A6">
      <w:pPr>
        <w:pStyle w:val="ListParagraph"/>
        <w:numPr>
          <w:ilvl w:val="0"/>
          <w:numId w:val="13"/>
        </w:numPr>
        <w:tabs>
          <w:tab w:val="left" w:pos="2001"/>
        </w:tabs>
        <w:spacing w:before="1"/>
        <w:ind w:right="1016" w:hanging="516"/>
        <w:jc w:val="both"/>
        <w:rPr>
          <w:sz w:val="20"/>
        </w:rPr>
      </w:pPr>
      <w:r w:rsidRPr="003948BA">
        <w:rPr>
          <w:sz w:val="20"/>
        </w:rPr>
        <w:t>The Management Company may make arrangements through branches of banks to facilitate redemption of Units of the Trust property under Allocation Plan(s). A request for redemption of Units may also be made through the use of electronic means</w:t>
      </w:r>
      <w:r w:rsidRPr="003948BA">
        <w:rPr>
          <w:spacing w:val="41"/>
          <w:sz w:val="20"/>
        </w:rPr>
        <w:t xml:space="preserve"> </w:t>
      </w:r>
      <w:r w:rsidRPr="003948BA">
        <w:rPr>
          <w:sz w:val="20"/>
        </w:rPr>
        <w:t>such</w:t>
      </w:r>
    </w:p>
    <w:p w:rsidR="005E5B48" w:rsidRPr="003948BA" w:rsidRDefault="00814043">
      <w:pPr>
        <w:pStyle w:val="BodyText"/>
        <w:spacing w:before="76"/>
        <w:ind w:left="2000" w:right="1432"/>
      </w:pPr>
      <w:r w:rsidRPr="003948BA">
        <w:t>as Internet or ATM facilities under prior arrangement with the Trustee and seeking prior approval of the Commission.</w:t>
      </w:r>
    </w:p>
    <w:p w:rsidR="005E5B48" w:rsidRPr="003948BA" w:rsidRDefault="005E5B48">
      <w:pPr>
        <w:pStyle w:val="BodyText"/>
        <w:spacing w:before="10"/>
      </w:pPr>
    </w:p>
    <w:p w:rsidR="005E5B48" w:rsidRPr="003948BA" w:rsidRDefault="00814043" w:rsidP="00A002A6">
      <w:pPr>
        <w:pStyle w:val="ListParagraph"/>
        <w:numPr>
          <w:ilvl w:val="0"/>
          <w:numId w:val="13"/>
        </w:numPr>
        <w:tabs>
          <w:tab w:val="left" w:pos="2000"/>
          <w:tab w:val="left" w:pos="2001"/>
        </w:tabs>
        <w:spacing w:before="1"/>
        <w:ind w:right="1020" w:hanging="559"/>
        <w:jc w:val="left"/>
      </w:pPr>
      <w:r w:rsidRPr="003948BA">
        <w:rPr>
          <w:sz w:val="20"/>
        </w:rPr>
        <w:t xml:space="preserve">The receipt of the Unit Holders for any amount payable in respect of </w:t>
      </w:r>
      <w:r w:rsidRPr="001E640E">
        <w:rPr>
          <w:sz w:val="20"/>
        </w:rPr>
        <w:t xml:space="preserve">the </w:t>
      </w:r>
      <w:r w:rsidRPr="003948BA">
        <w:rPr>
          <w:sz w:val="20"/>
        </w:rPr>
        <w:t>Units shall</w:t>
      </w:r>
      <w:r w:rsidRPr="001E640E">
        <w:rPr>
          <w:sz w:val="20"/>
        </w:rPr>
        <w:t xml:space="preserve"> </w:t>
      </w:r>
      <w:r w:rsidRPr="003948BA">
        <w:rPr>
          <w:sz w:val="20"/>
        </w:rPr>
        <w:t>be</w:t>
      </w:r>
      <w:r w:rsidR="002826E9" w:rsidRPr="003948BA">
        <w:rPr>
          <w:sz w:val="20"/>
        </w:rPr>
        <w:t xml:space="preserve"> </w:t>
      </w:r>
      <w:r w:rsidRPr="001E640E">
        <w:rPr>
          <w:sz w:val="20"/>
        </w:rPr>
        <w:t>a good discharge to the Trustee and the Management Company. In case of joint Unit Holders any one of them may give effectual receipt for any such moneys.</w:t>
      </w:r>
    </w:p>
    <w:p w:rsidR="005E5B48" w:rsidRPr="003948BA" w:rsidRDefault="005E5B48">
      <w:pPr>
        <w:pStyle w:val="BodyText"/>
        <w:spacing w:before="3"/>
      </w:pPr>
    </w:p>
    <w:p w:rsidR="005E5B48" w:rsidRPr="003948BA" w:rsidRDefault="00814043" w:rsidP="00A002A6">
      <w:pPr>
        <w:pStyle w:val="ListParagraph"/>
        <w:numPr>
          <w:ilvl w:val="0"/>
          <w:numId w:val="13"/>
        </w:numPr>
        <w:tabs>
          <w:tab w:val="left" w:pos="2001"/>
        </w:tabs>
        <w:spacing w:before="1"/>
        <w:ind w:right="1020" w:hanging="605"/>
        <w:jc w:val="both"/>
        <w:rPr>
          <w:sz w:val="20"/>
        </w:rPr>
      </w:pPr>
      <w:r w:rsidRPr="003948BA">
        <w:rPr>
          <w:sz w:val="20"/>
        </w:rPr>
        <w:t>Application for Redemption of Units will be received at the authorized offices or branches of the Distributor on all Dealing Days. Where redemption requests on any one Dealing Day exceed ten (10) percent of either the total number of outstanding Units of the pertinent Allocation Plan, such redemption requests in excess of ten (10) percent may be deferred in accordance with the procedure elaborated in the Clause 4.10.4.</w:t>
      </w:r>
    </w:p>
    <w:p w:rsidR="005E5B48" w:rsidRPr="003948BA" w:rsidRDefault="005E5B48">
      <w:pPr>
        <w:pStyle w:val="BodyText"/>
        <w:spacing w:before="10"/>
      </w:pPr>
    </w:p>
    <w:p w:rsidR="005E5B48" w:rsidRPr="003948BA" w:rsidRDefault="00814043" w:rsidP="00A002A6">
      <w:pPr>
        <w:pStyle w:val="ListParagraph"/>
        <w:numPr>
          <w:ilvl w:val="0"/>
          <w:numId w:val="13"/>
        </w:numPr>
        <w:tabs>
          <w:tab w:val="left" w:pos="2001"/>
        </w:tabs>
        <w:ind w:right="1014" w:hanging="648"/>
        <w:jc w:val="both"/>
        <w:rPr>
          <w:sz w:val="20"/>
        </w:rPr>
      </w:pPr>
      <w:r w:rsidRPr="003948BA">
        <w:rPr>
          <w:sz w:val="20"/>
        </w:rPr>
        <w:t>On the occurrence of any circumstance specified in the Regulation or the Deed that may require an Allocation Plan(s) under the Fund should be suspended, the Management Company shall suspend the Sale and Redemption of Units of the pertinent Allocation Plan and the intimation of suspension shall be made to the Unit Holders of the pertinent Allocation Plan, the Trustee and the Commission according to the procedure laid down in the</w:t>
      </w:r>
      <w:r w:rsidRPr="003948BA">
        <w:rPr>
          <w:spacing w:val="-7"/>
          <w:sz w:val="20"/>
        </w:rPr>
        <w:t xml:space="preserve"> </w:t>
      </w:r>
      <w:r w:rsidRPr="003948BA">
        <w:rPr>
          <w:sz w:val="20"/>
        </w:rPr>
        <w:t>Regulation.</w:t>
      </w:r>
    </w:p>
    <w:p w:rsidR="005E5B48" w:rsidRPr="003948BA" w:rsidRDefault="005E5B48">
      <w:pPr>
        <w:pStyle w:val="BodyText"/>
        <w:spacing w:before="10"/>
      </w:pPr>
    </w:p>
    <w:p w:rsidR="004724FC" w:rsidRPr="003948BA" w:rsidRDefault="00814043" w:rsidP="005A03AE">
      <w:pPr>
        <w:pStyle w:val="ListParagraph"/>
        <w:numPr>
          <w:ilvl w:val="0"/>
          <w:numId w:val="13"/>
        </w:numPr>
        <w:tabs>
          <w:tab w:val="left" w:pos="2001"/>
        </w:tabs>
        <w:spacing w:before="1"/>
        <w:ind w:right="1017" w:hanging="660"/>
        <w:jc w:val="both"/>
        <w:rPr>
          <w:szCs w:val="20"/>
        </w:rPr>
      </w:pPr>
      <w:r w:rsidRPr="003948BA">
        <w:rPr>
          <w:sz w:val="20"/>
        </w:rPr>
        <w:t>Unit Holder may redeem their Units held in Book Entry form in CDS. The Redemption of Units in CDS shall be made in accordance with the procedure laid down in CDCPL Regulations.</w:t>
      </w:r>
    </w:p>
    <w:p w:rsidR="005E5B48" w:rsidRPr="003948BA" w:rsidRDefault="005E5B48">
      <w:pPr>
        <w:pStyle w:val="BodyText"/>
        <w:rPr>
          <w:sz w:val="22"/>
        </w:rPr>
      </w:pPr>
    </w:p>
    <w:p w:rsidR="005E5B48" w:rsidRPr="003948BA" w:rsidRDefault="00814043" w:rsidP="00A002A6">
      <w:pPr>
        <w:pStyle w:val="Heading5"/>
        <w:numPr>
          <w:ilvl w:val="1"/>
          <w:numId w:val="14"/>
        </w:numPr>
        <w:tabs>
          <w:tab w:val="left" w:pos="1640"/>
          <w:tab w:val="left" w:pos="1641"/>
        </w:tabs>
        <w:spacing w:before="173"/>
        <w:ind w:left="1640"/>
        <w:jc w:val="left"/>
      </w:pPr>
      <w:bookmarkStart w:id="56" w:name="_bookmark46"/>
      <w:bookmarkEnd w:id="56"/>
      <w:r w:rsidRPr="003948BA">
        <w:t>Determination of Redemption (Repurchase)</w:t>
      </w:r>
      <w:r w:rsidRPr="003948BA">
        <w:rPr>
          <w:spacing w:val="-9"/>
        </w:rPr>
        <w:t xml:space="preserve"> </w:t>
      </w:r>
      <w:r w:rsidRPr="003948BA">
        <w:t>Price</w:t>
      </w:r>
    </w:p>
    <w:p w:rsidR="005E5B48" w:rsidRPr="003948BA" w:rsidRDefault="005E5B48">
      <w:pPr>
        <w:pStyle w:val="BodyText"/>
        <w:spacing w:before="3"/>
        <w:rPr>
          <w:b/>
          <w:sz w:val="21"/>
        </w:rPr>
      </w:pPr>
    </w:p>
    <w:p w:rsidR="005E5B48" w:rsidRPr="003948BA" w:rsidRDefault="00814043" w:rsidP="00A002A6">
      <w:pPr>
        <w:pStyle w:val="ListParagraph"/>
        <w:numPr>
          <w:ilvl w:val="2"/>
          <w:numId w:val="14"/>
        </w:numPr>
        <w:tabs>
          <w:tab w:val="left" w:pos="1641"/>
        </w:tabs>
        <w:ind w:right="1015"/>
        <w:jc w:val="both"/>
        <w:rPr>
          <w:sz w:val="20"/>
        </w:rPr>
      </w:pPr>
      <w:r w:rsidRPr="003948BA">
        <w:rPr>
          <w:sz w:val="20"/>
        </w:rPr>
        <w:t>After the Initial Offer the Redemption (Repurchase) Price of Units of any Allocation Plan shall be equal to the Net Asset Value (NAV) of the pertinent Allocation Plan as of the close of Business Day (forward pricing)</w:t>
      </w:r>
      <w:r w:rsidRPr="003948BA">
        <w:rPr>
          <w:spacing w:val="-14"/>
          <w:sz w:val="20"/>
        </w:rPr>
        <w:t xml:space="preserve"> </w:t>
      </w:r>
      <w:r w:rsidRPr="003948BA">
        <w:rPr>
          <w:sz w:val="20"/>
        </w:rPr>
        <w:t>less:</w:t>
      </w:r>
    </w:p>
    <w:p w:rsidR="005E5B48" w:rsidRPr="003948BA" w:rsidRDefault="005E5B48">
      <w:pPr>
        <w:pStyle w:val="BodyText"/>
        <w:spacing w:before="11"/>
        <w:rPr>
          <w:sz w:val="28"/>
        </w:rPr>
      </w:pPr>
    </w:p>
    <w:p w:rsidR="005E5B48" w:rsidRPr="003948BA" w:rsidRDefault="00814043" w:rsidP="00A002A6">
      <w:pPr>
        <w:pStyle w:val="ListParagraph"/>
        <w:numPr>
          <w:ilvl w:val="3"/>
          <w:numId w:val="14"/>
        </w:numPr>
        <w:tabs>
          <w:tab w:val="left" w:pos="2360"/>
          <w:tab w:val="left" w:pos="2361"/>
        </w:tabs>
        <w:ind w:right="1417" w:hanging="482"/>
        <w:rPr>
          <w:sz w:val="20"/>
        </w:rPr>
      </w:pPr>
      <w:r w:rsidRPr="003948BA">
        <w:rPr>
          <w:sz w:val="20"/>
        </w:rPr>
        <w:t>Any Contingent Load</w:t>
      </w:r>
      <w:r w:rsidR="00C95432" w:rsidRPr="003948BA">
        <w:rPr>
          <w:sz w:val="20"/>
        </w:rPr>
        <w:t xml:space="preserve"> or Back End Load</w:t>
      </w:r>
      <w:r w:rsidR="004F5E92" w:rsidRPr="003948BA">
        <w:rPr>
          <w:sz w:val="20"/>
        </w:rPr>
        <w:t xml:space="preserve"> </w:t>
      </w:r>
      <w:r w:rsidR="00C95432" w:rsidRPr="003948BA">
        <w:rPr>
          <w:sz w:val="20"/>
        </w:rPr>
        <w:t>(Deferred Sales Load)</w:t>
      </w:r>
      <w:r w:rsidRPr="003948BA">
        <w:rPr>
          <w:sz w:val="20"/>
        </w:rPr>
        <w:t xml:space="preserve"> as per the details in this Offering Document Annexure B; and;</w:t>
      </w:r>
    </w:p>
    <w:p w:rsidR="005E5B48" w:rsidRPr="003948BA" w:rsidRDefault="00814043" w:rsidP="00A002A6">
      <w:pPr>
        <w:pStyle w:val="ListParagraph"/>
        <w:numPr>
          <w:ilvl w:val="3"/>
          <w:numId w:val="14"/>
        </w:numPr>
        <w:tabs>
          <w:tab w:val="left" w:pos="2360"/>
          <w:tab w:val="left" w:pos="2361"/>
        </w:tabs>
        <w:spacing w:before="4"/>
        <w:ind w:right="1831" w:hanging="482"/>
        <w:rPr>
          <w:sz w:val="20"/>
        </w:rPr>
      </w:pPr>
      <w:r w:rsidRPr="003948BA">
        <w:rPr>
          <w:sz w:val="20"/>
        </w:rPr>
        <w:t xml:space="preserve">Such amount as the Management Company may consider an appropriate provision for Duties and Charges and other levies </w:t>
      </w:r>
      <w:proofErr w:type="spellStart"/>
      <w:r w:rsidRPr="003948BA">
        <w:rPr>
          <w:sz w:val="20"/>
        </w:rPr>
        <w:t>etc</w:t>
      </w:r>
      <w:proofErr w:type="spellEnd"/>
      <w:r w:rsidRPr="003948BA">
        <w:rPr>
          <w:sz w:val="20"/>
        </w:rPr>
        <w:t>;</w:t>
      </w:r>
      <w:r w:rsidRPr="003948BA">
        <w:rPr>
          <w:spacing w:val="-19"/>
          <w:sz w:val="20"/>
        </w:rPr>
        <w:t xml:space="preserve"> </w:t>
      </w:r>
      <w:r w:rsidRPr="003948BA">
        <w:rPr>
          <w:sz w:val="20"/>
        </w:rPr>
        <w:t>and</w:t>
      </w:r>
    </w:p>
    <w:p w:rsidR="005E5B48" w:rsidRPr="003948BA" w:rsidRDefault="00814043" w:rsidP="00A002A6">
      <w:pPr>
        <w:pStyle w:val="ListParagraph"/>
        <w:numPr>
          <w:ilvl w:val="3"/>
          <w:numId w:val="14"/>
        </w:numPr>
        <w:tabs>
          <w:tab w:val="left" w:pos="2360"/>
          <w:tab w:val="left" w:pos="2361"/>
        </w:tabs>
        <w:ind w:right="1831" w:hanging="478"/>
        <w:rPr>
          <w:sz w:val="20"/>
        </w:rPr>
      </w:pPr>
      <w:r w:rsidRPr="003948BA">
        <w:rPr>
          <w:sz w:val="20"/>
        </w:rPr>
        <w:t>Such amount as the Management Company may consider an appropriate provision for Transaction</w:t>
      </w:r>
      <w:r w:rsidRPr="003948BA">
        <w:rPr>
          <w:spacing w:val="-9"/>
          <w:sz w:val="20"/>
        </w:rPr>
        <w:t xml:space="preserve"> </w:t>
      </w:r>
      <w:r w:rsidRPr="003948BA">
        <w:rPr>
          <w:sz w:val="20"/>
        </w:rPr>
        <w:t>Costs;</w:t>
      </w:r>
    </w:p>
    <w:p w:rsidR="005E5B48" w:rsidRPr="003948BA" w:rsidRDefault="00814043" w:rsidP="00A002A6">
      <w:pPr>
        <w:pStyle w:val="ListParagraph"/>
        <w:numPr>
          <w:ilvl w:val="3"/>
          <w:numId w:val="14"/>
        </w:numPr>
        <w:tabs>
          <w:tab w:val="left" w:pos="2360"/>
          <w:tab w:val="left" w:pos="2361"/>
        </w:tabs>
        <w:ind w:hanging="482"/>
        <w:rPr>
          <w:sz w:val="20"/>
        </w:rPr>
      </w:pPr>
      <w:r w:rsidRPr="003948BA">
        <w:rPr>
          <w:sz w:val="20"/>
        </w:rPr>
        <w:t>Such sum shall be adjusted downward to the nearest</w:t>
      </w:r>
      <w:r w:rsidRPr="003948BA">
        <w:rPr>
          <w:spacing w:val="-25"/>
          <w:sz w:val="20"/>
        </w:rPr>
        <w:t xml:space="preserve"> </w:t>
      </w:r>
      <w:r w:rsidRPr="003948BA">
        <w:rPr>
          <w:sz w:val="20"/>
        </w:rPr>
        <w:t>paisa</w:t>
      </w:r>
    </w:p>
    <w:p w:rsidR="005E5B48" w:rsidRPr="003948BA" w:rsidRDefault="005E5B48">
      <w:pPr>
        <w:pStyle w:val="BodyText"/>
        <w:spacing w:before="11"/>
        <w:rPr>
          <w:sz w:val="19"/>
        </w:rPr>
      </w:pPr>
    </w:p>
    <w:p w:rsidR="005E5B48" w:rsidRPr="003948BA" w:rsidRDefault="00814043">
      <w:pPr>
        <w:pStyle w:val="BodyText"/>
        <w:ind w:left="1640" w:right="1010"/>
        <w:jc w:val="both"/>
      </w:pPr>
      <w:r w:rsidRPr="003948BA">
        <w:t>Level of all back end load</w:t>
      </w:r>
      <w:r w:rsidR="001A0A70" w:rsidRPr="003948BA">
        <w:t xml:space="preserve"> (</w:t>
      </w:r>
      <w:r w:rsidR="004F5E92" w:rsidRPr="003948BA">
        <w:t>D</w:t>
      </w:r>
      <w:r w:rsidR="001A0A70" w:rsidRPr="003948BA">
        <w:t xml:space="preserve">eferred </w:t>
      </w:r>
      <w:r w:rsidR="004F5E92" w:rsidRPr="003948BA">
        <w:t>S</w:t>
      </w:r>
      <w:r w:rsidR="001A0A70" w:rsidRPr="003948BA">
        <w:t xml:space="preserve">ales </w:t>
      </w:r>
      <w:r w:rsidR="004F5E92" w:rsidRPr="003948BA">
        <w:t>L</w:t>
      </w:r>
      <w:r w:rsidR="001A0A70" w:rsidRPr="003948BA">
        <w:t>oad)</w:t>
      </w:r>
      <w:r w:rsidRPr="003948BA">
        <w:t xml:space="preserve"> shall be disclosed in the Offering Document </w:t>
      </w:r>
      <w:r w:rsidR="001E640E">
        <w:t>(</w:t>
      </w:r>
      <w:r w:rsidRPr="003948BA">
        <w:t>Annexure B</w:t>
      </w:r>
      <w:r w:rsidR="001E640E">
        <w:t>)</w:t>
      </w:r>
      <w:r w:rsidRPr="003948BA">
        <w:t>. An increase in Back End</w:t>
      </w:r>
      <w:r w:rsidR="004F5E92" w:rsidRPr="003948BA">
        <w:t xml:space="preserve"> Load </w:t>
      </w:r>
      <w:r w:rsidR="001A0A70" w:rsidRPr="003948BA">
        <w:t>(deferred sales load)</w:t>
      </w:r>
      <w:r w:rsidRPr="003948BA">
        <w:t xml:space="preserve"> load will require 90 days prior notice to the Unit Holder or any other period as specified in the Regulations.</w:t>
      </w:r>
    </w:p>
    <w:p w:rsidR="005E5B48" w:rsidRPr="003948BA" w:rsidRDefault="005E5B48">
      <w:pPr>
        <w:pStyle w:val="BodyText"/>
        <w:spacing w:before="6"/>
      </w:pPr>
    </w:p>
    <w:p w:rsidR="005E5B48" w:rsidRPr="003948BA" w:rsidRDefault="00814043" w:rsidP="00A002A6">
      <w:pPr>
        <w:pStyle w:val="ListParagraph"/>
        <w:numPr>
          <w:ilvl w:val="2"/>
          <w:numId w:val="14"/>
        </w:numPr>
        <w:tabs>
          <w:tab w:val="left" w:pos="1641"/>
        </w:tabs>
        <w:spacing w:before="1"/>
        <w:ind w:right="1004"/>
        <w:jc w:val="both"/>
        <w:rPr>
          <w:sz w:val="20"/>
        </w:rPr>
      </w:pPr>
      <w:r w:rsidRPr="003948BA">
        <w:rPr>
          <w:sz w:val="20"/>
        </w:rPr>
        <w:t>The Repurchase (Redemption) Price so determined shall apply to redemption requests, complete in all respects, received by the Distributor or the Management Company during the Business Hours (as announced by the Management Company from time to time) on the</w:t>
      </w:r>
      <w:r w:rsidRPr="003948BA">
        <w:rPr>
          <w:spacing w:val="-4"/>
          <w:sz w:val="20"/>
        </w:rPr>
        <w:t xml:space="preserve"> </w:t>
      </w:r>
      <w:r w:rsidRPr="003948BA">
        <w:rPr>
          <w:sz w:val="20"/>
        </w:rPr>
        <w:t>Dealing</w:t>
      </w:r>
      <w:r w:rsidRPr="003948BA">
        <w:rPr>
          <w:spacing w:val="-4"/>
          <w:sz w:val="20"/>
        </w:rPr>
        <w:t xml:space="preserve"> </w:t>
      </w:r>
      <w:r w:rsidRPr="003948BA">
        <w:rPr>
          <w:sz w:val="20"/>
        </w:rPr>
        <w:t>Day</w:t>
      </w:r>
      <w:r w:rsidRPr="003948BA">
        <w:rPr>
          <w:spacing w:val="-6"/>
          <w:sz w:val="20"/>
        </w:rPr>
        <w:t xml:space="preserve"> </w:t>
      </w:r>
      <w:r w:rsidRPr="003948BA">
        <w:rPr>
          <w:sz w:val="20"/>
        </w:rPr>
        <w:t>on</w:t>
      </w:r>
      <w:r w:rsidRPr="003948BA">
        <w:rPr>
          <w:spacing w:val="-2"/>
          <w:sz w:val="20"/>
        </w:rPr>
        <w:t xml:space="preserve"> </w:t>
      </w:r>
      <w:r w:rsidRPr="003948BA">
        <w:rPr>
          <w:sz w:val="20"/>
        </w:rPr>
        <w:t>which</w:t>
      </w:r>
      <w:r w:rsidRPr="003948BA">
        <w:rPr>
          <w:spacing w:val="-2"/>
          <w:sz w:val="20"/>
        </w:rPr>
        <w:t xml:space="preserve"> </w:t>
      </w:r>
      <w:r w:rsidRPr="003948BA">
        <w:rPr>
          <w:sz w:val="20"/>
        </w:rPr>
        <w:t>a</w:t>
      </w:r>
      <w:r w:rsidRPr="003948BA">
        <w:rPr>
          <w:spacing w:val="-2"/>
          <w:sz w:val="20"/>
        </w:rPr>
        <w:t xml:space="preserve"> </w:t>
      </w:r>
      <w:r w:rsidRPr="003948BA">
        <w:rPr>
          <w:sz w:val="20"/>
        </w:rPr>
        <w:t>correctly</w:t>
      </w:r>
      <w:r w:rsidRPr="003948BA">
        <w:rPr>
          <w:spacing w:val="-5"/>
          <w:sz w:val="20"/>
        </w:rPr>
        <w:t xml:space="preserve"> </w:t>
      </w:r>
      <w:r w:rsidRPr="003948BA">
        <w:rPr>
          <w:sz w:val="20"/>
        </w:rPr>
        <w:t>and</w:t>
      </w:r>
      <w:r w:rsidRPr="003948BA">
        <w:rPr>
          <w:spacing w:val="-2"/>
          <w:sz w:val="20"/>
        </w:rPr>
        <w:t xml:space="preserve"> </w:t>
      </w:r>
      <w:r w:rsidRPr="003948BA">
        <w:rPr>
          <w:sz w:val="20"/>
        </w:rPr>
        <w:t>properly</w:t>
      </w:r>
      <w:r w:rsidRPr="003948BA">
        <w:rPr>
          <w:spacing w:val="-6"/>
          <w:sz w:val="20"/>
        </w:rPr>
        <w:t xml:space="preserve"> </w:t>
      </w:r>
      <w:r w:rsidRPr="003948BA">
        <w:rPr>
          <w:sz w:val="20"/>
        </w:rPr>
        <w:t>filled</w:t>
      </w:r>
      <w:r w:rsidRPr="003948BA">
        <w:rPr>
          <w:spacing w:val="-2"/>
          <w:sz w:val="20"/>
        </w:rPr>
        <w:t xml:space="preserve"> </w:t>
      </w:r>
      <w:r w:rsidRPr="003948BA">
        <w:rPr>
          <w:sz w:val="20"/>
        </w:rPr>
        <w:t>redemption</w:t>
      </w:r>
      <w:r w:rsidRPr="003948BA">
        <w:rPr>
          <w:spacing w:val="-2"/>
          <w:sz w:val="20"/>
        </w:rPr>
        <w:t xml:space="preserve"> </w:t>
      </w:r>
      <w:r w:rsidRPr="003948BA">
        <w:rPr>
          <w:sz w:val="20"/>
        </w:rPr>
        <w:t>application</w:t>
      </w:r>
      <w:r w:rsidRPr="003948BA">
        <w:rPr>
          <w:spacing w:val="-4"/>
          <w:sz w:val="20"/>
        </w:rPr>
        <w:t xml:space="preserve"> </w:t>
      </w:r>
      <w:r w:rsidRPr="003948BA">
        <w:rPr>
          <w:sz w:val="20"/>
        </w:rPr>
        <w:t>is</w:t>
      </w:r>
      <w:r w:rsidRPr="003948BA">
        <w:rPr>
          <w:spacing w:val="-20"/>
          <w:sz w:val="20"/>
        </w:rPr>
        <w:t xml:space="preserve"> </w:t>
      </w:r>
      <w:r w:rsidRPr="003948BA">
        <w:rPr>
          <w:sz w:val="20"/>
        </w:rPr>
        <w:t>received.</w:t>
      </w:r>
    </w:p>
    <w:p w:rsidR="005E5B48" w:rsidRPr="003948BA" w:rsidRDefault="005E5B48">
      <w:pPr>
        <w:pStyle w:val="BodyText"/>
        <w:rPr>
          <w:sz w:val="21"/>
        </w:rPr>
      </w:pPr>
    </w:p>
    <w:p w:rsidR="005E5B48" w:rsidRPr="003948BA" w:rsidRDefault="00814043" w:rsidP="00A002A6">
      <w:pPr>
        <w:pStyle w:val="ListParagraph"/>
        <w:numPr>
          <w:ilvl w:val="2"/>
          <w:numId w:val="14"/>
        </w:numPr>
        <w:tabs>
          <w:tab w:val="left" w:pos="1641"/>
        </w:tabs>
        <w:ind w:right="1012"/>
        <w:jc w:val="both"/>
        <w:rPr>
          <w:sz w:val="20"/>
        </w:rPr>
      </w:pPr>
      <w:r w:rsidRPr="003948BA">
        <w:rPr>
          <w:sz w:val="20"/>
        </w:rPr>
        <w:t xml:space="preserve">The Redemption Price of Units of Allocation Plans determined by the Management Company shall be made available for every Dealing day to the public at the office and branches of the Distributors and at the discretion of the Management Company may also </w:t>
      </w:r>
      <w:r w:rsidRPr="003948BA">
        <w:rPr>
          <w:sz w:val="20"/>
        </w:rPr>
        <w:lastRenderedPageBreak/>
        <w:t>be published in any daily newspaper widely circulated in Pakistan and will be published at Management Company</w:t>
      </w:r>
      <w:r w:rsidR="00F96FC9">
        <w:rPr>
          <w:sz w:val="20"/>
        </w:rPr>
        <w:t>’</w:t>
      </w:r>
      <w:r w:rsidRPr="003948BA">
        <w:rPr>
          <w:sz w:val="20"/>
        </w:rPr>
        <w:t>s and MUFAP‟s</w:t>
      </w:r>
      <w:r w:rsidRPr="003948BA">
        <w:rPr>
          <w:spacing w:val="-13"/>
          <w:sz w:val="20"/>
        </w:rPr>
        <w:t xml:space="preserve"> </w:t>
      </w:r>
      <w:r w:rsidRPr="003948BA">
        <w:rPr>
          <w:sz w:val="20"/>
        </w:rPr>
        <w:t>website.</w:t>
      </w:r>
    </w:p>
    <w:p w:rsidR="005E5B48" w:rsidRPr="003948BA" w:rsidRDefault="005E5B48">
      <w:pPr>
        <w:pStyle w:val="BodyText"/>
        <w:rPr>
          <w:sz w:val="22"/>
        </w:rPr>
      </w:pPr>
    </w:p>
    <w:p w:rsidR="005E5B48" w:rsidRPr="003948BA" w:rsidRDefault="00814043" w:rsidP="00A002A6">
      <w:pPr>
        <w:pStyle w:val="Heading5"/>
        <w:numPr>
          <w:ilvl w:val="1"/>
          <w:numId w:val="14"/>
        </w:numPr>
        <w:tabs>
          <w:tab w:val="left" w:pos="1640"/>
          <w:tab w:val="left" w:pos="1641"/>
        </w:tabs>
        <w:spacing w:before="153"/>
        <w:ind w:left="1640"/>
        <w:jc w:val="left"/>
      </w:pPr>
      <w:bookmarkStart w:id="57" w:name="_bookmark47"/>
      <w:bookmarkEnd w:id="57"/>
      <w:r w:rsidRPr="003948BA">
        <w:t>Purchase (Public Offer) and Redemption (Repurchase) of Units outside</w:t>
      </w:r>
      <w:r w:rsidRPr="003948BA">
        <w:rPr>
          <w:spacing w:val="-25"/>
        </w:rPr>
        <w:t xml:space="preserve"> </w:t>
      </w:r>
      <w:r w:rsidRPr="003948BA">
        <w:t>Pakistan</w:t>
      </w:r>
    </w:p>
    <w:p w:rsidR="005E5B48" w:rsidRPr="003948BA" w:rsidRDefault="005E5B48">
      <w:pPr>
        <w:pStyle w:val="BodyText"/>
        <w:spacing w:before="3"/>
        <w:rPr>
          <w:b/>
          <w:sz w:val="21"/>
        </w:rPr>
      </w:pPr>
    </w:p>
    <w:p w:rsidR="005E5B48" w:rsidRPr="003948BA" w:rsidRDefault="00814043" w:rsidP="00A002A6">
      <w:pPr>
        <w:pStyle w:val="ListParagraph"/>
        <w:numPr>
          <w:ilvl w:val="2"/>
          <w:numId w:val="14"/>
        </w:numPr>
        <w:tabs>
          <w:tab w:val="left" w:pos="1641"/>
        </w:tabs>
        <w:ind w:right="1017"/>
        <w:jc w:val="both"/>
        <w:rPr>
          <w:sz w:val="20"/>
        </w:rPr>
      </w:pPr>
      <w:r w:rsidRPr="003948BA">
        <w:rPr>
          <w:sz w:val="20"/>
        </w:rPr>
        <w:t>Subject to exchange control, SECP prior approval and other applicable laws, Rules and Regulations, in the event of arrangements being made by the Management Company</w:t>
      </w:r>
      <w:r w:rsidRPr="003948BA">
        <w:rPr>
          <w:spacing w:val="-11"/>
          <w:sz w:val="20"/>
        </w:rPr>
        <w:t xml:space="preserve"> </w:t>
      </w:r>
      <w:r w:rsidRPr="003948BA">
        <w:rPr>
          <w:sz w:val="20"/>
        </w:rPr>
        <w:t>for</w:t>
      </w:r>
    </w:p>
    <w:p w:rsidR="005E5B48" w:rsidRPr="003948BA" w:rsidRDefault="00814043" w:rsidP="002826E9">
      <w:pPr>
        <w:pStyle w:val="BodyText"/>
        <w:spacing w:before="74"/>
        <w:ind w:left="1640" w:right="1013"/>
        <w:jc w:val="both"/>
      </w:pPr>
      <w:r w:rsidRPr="003948BA">
        <w:t>the Purchase (Public Offer) of Units to persons not residing in Pakistan or for delivery in any country outside Pakistan, the price at which such Units may be issued may include in addition to the Purchase (Public Offer) Price as hereinbefore provided a further amount sufficient to cover any exchange risk insurance, any additional stamp duty or taxation whether national, local or otherwise leviable in that country in respect of such issue or of the delivery or issue of Certificates, or any additional costs relating to the delivery of certificates or the remittance of money to Pakistan or any other cost in general incurred in</w:t>
      </w:r>
      <w:r w:rsidR="002826E9" w:rsidRPr="003948BA">
        <w:t xml:space="preserve"> </w:t>
      </w:r>
      <w:r w:rsidRPr="003948BA">
        <w:t>providing this facility.</w:t>
      </w:r>
    </w:p>
    <w:p w:rsidR="005E5B48" w:rsidRPr="003948BA" w:rsidRDefault="005E5B48">
      <w:pPr>
        <w:pStyle w:val="BodyText"/>
        <w:spacing w:before="10"/>
      </w:pPr>
    </w:p>
    <w:p w:rsidR="005E5B48" w:rsidRPr="003948BA" w:rsidRDefault="00814043" w:rsidP="00A002A6">
      <w:pPr>
        <w:pStyle w:val="ListParagraph"/>
        <w:numPr>
          <w:ilvl w:val="2"/>
          <w:numId w:val="14"/>
        </w:numPr>
        <w:tabs>
          <w:tab w:val="left" w:pos="1641"/>
        </w:tabs>
        <w:spacing w:before="1"/>
        <w:ind w:right="1010"/>
        <w:jc w:val="both"/>
        <w:rPr>
          <w:sz w:val="20"/>
        </w:rPr>
      </w:pPr>
      <w:r w:rsidRPr="003948BA">
        <w:rPr>
          <w:sz w:val="20"/>
        </w:rPr>
        <w:t>In the event that the Redemption Price for Units shall be paid in any country outside Pakistan, the price at which such Units may be redeemed may include as a deduction to the Redemption Price as hereinbefore provided a further amount sufficient to cover any exchange risk insurance and any additional stamp duty or taxation whether national, local or otherwise leviable in that country in respect of such payment or redemption or any bank or other charges incurred in arranging the payment or any other cost in general incurred in providing this facility. Provided however, neither the Management Company, nor the Trustee give any assurance or make any representation that remittance would be allowed by the State Bank of Pakistan at the relevant</w:t>
      </w:r>
      <w:r w:rsidRPr="003948BA">
        <w:rPr>
          <w:spacing w:val="-5"/>
          <w:sz w:val="20"/>
        </w:rPr>
        <w:t xml:space="preserve"> </w:t>
      </w:r>
      <w:r w:rsidRPr="003948BA">
        <w:rPr>
          <w:sz w:val="20"/>
        </w:rPr>
        <w:t>time</w:t>
      </w:r>
    </w:p>
    <w:p w:rsidR="005E5B48" w:rsidRPr="003948BA" w:rsidRDefault="005E5B48">
      <w:pPr>
        <w:pStyle w:val="BodyText"/>
        <w:rPr>
          <w:sz w:val="21"/>
        </w:rPr>
      </w:pPr>
    </w:p>
    <w:p w:rsidR="005E5B48" w:rsidRPr="003948BA" w:rsidRDefault="00814043" w:rsidP="00A002A6">
      <w:pPr>
        <w:pStyle w:val="ListParagraph"/>
        <w:numPr>
          <w:ilvl w:val="2"/>
          <w:numId w:val="14"/>
        </w:numPr>
        <w:tabs>
          <w:tab w:val="left" w:pos="1641"/>
        </w:tabs>
        <w:ind w:right="1018"/>
        <w:jc w:val="both"/>
      </w:pPr>
      <w:r w:rsidRPr="003948BA">
        <w:rPr>
          <w:sz w:val="20"/>
        </w:rPr>
        <w:t>The currency of transaction of the Trust is the Pakistan Rupee and the Management Company, Trustee or any Distributor are not obliged to transact the purchase or redemption of the Units in any other currency and shall not be held liable, save as may be specifically undertaken by the Management Company, for receipt or payment in any other currency or for any obligations arising</w:t>
      </w:r>
      <w:r w:rsidRPr="003948BA">
        <w:rPr>
          <w:spacing w:val="-17"/>
          <w:sz w:val="20"/>
        </w:rPr>
        <w:t xml:space="preserve"> </w:t>
      </w:r>
      <w:r w:rsidRPr="003948BA">
        <w:rPr>
          <w:sz w:val="20"/>
        </w:rPr>
        <w:t>therefrom</w:t>
      </w:r>
      <w:r w:rsidRPr="003948BA">
        <w:t>.</w:t>
      </w:r>
    </w:p>
    <w:p w:rsidR="005E5B48" w:rsidRPr="003948BA" w:rsidRDefault="005E5B48">
      <w:pPr>
        <w:pStyle w:val="BodyText"/>
        <w:rPr>
          <w:sz w:val="24"/>
        </w:rPr>
      </w:pPr>
    </w:p>
    <w:p w:rsidR="005E5B48" w:rsidRPr="003948BA" w:rsidRDefault="00814043" w:rsidP="00A002A6">
      <w:pPr>
        <w:pStyle w:val="Heading5"/>
        <w:numPr>
          <w:ilvl w:val="1"/>
          <w:numId w:val="14"/>
        </w:numPr>
        <w:tabs>
          <w:tab w:val="left" w:pos="1640"/>
          <w:tab w:val="left" w:pos="1641"/>
        </w:tabs>
        <w:spacing w:before="148"/>
        <w:ind w:left="1640"/>
        <w:jc w:val="left"/>
      </w:pPr>
      <w:bookmarkStart w:id="58" w:name="_bookmark48"/>
      <w:bookmarkEnd w:id="58"/>
      <w:r w:rsidRPr="003948BA">
        <w:t>Procedure for Requesting Change in Unit Holder</w:t>
      </w:r>
      <w:r w:rsidRPr="003948BA">
        <w:rPr>
          <w:spacing w:val="-20"/>
        </w:rPr>
        <w:t xml:space="preserve"> </w:t>
      </w:r>
      <w:r w:rsidRPr="003948BA">
        <w:t>Particulars</w:t>
      </w:r>
    </w:p>
    <w:p w:rsidR="005E5B48" w:rsidRPr="003948BA" w:rsidRDefault="005E5B48">
      <w:pPr>
        <w:pStyle w:val="BodyText"/>
        <w:spacing w:before="8"/>
        <w:rPr>
          <w:b/>
        </w:rPr>
      </w:pPr>
    </w:p>
    <w:p w:rsidR="005E5B48" w:rsidRPr="003948BA" w:rsidRDefault="00814043" w:rsidP="00A002A6">
      <w:pPr>
        <w:pStyle w:val="ListParagraph"/>
        <w:numPr>
          <w:ilvl w:val="2"/>
          <w:numId w:val="14"/>
        </w:numPr>
        <w:tabs>
          <w:tab w:val="left" w:pos="1640"/>
          <w:tab w:val="left" w:pos="1641"/>
        </w:tabs>
        <w:rPr>
          <w:b/>
          <w:sz w:val="20"/>
        </w:rPr>
      </w:pPr>
      <w:r w:rsidRPr="003948BA">
        <w:rPr>
          <w:b/>
          <w:sz w:val="20"/>
        </w:rPr>
        <w:t>Who Can Request</w:t>
      </w:r>
      <w:r w:rsidRPr="003948BA">
        <w:rPr>
          <w:b/>
          <w:spacing w:val="-7"/>
          <w:sz w:val="20"/>
        </w:rPr>
        <w:t xml:space="preserve"> </w:t>
      </w:r>
      <w:r w:rsidRPr="003948BA">
        <w:rPr>
          <w:b/>
          <w:sz w:val="20"/>
        </w:rPr>
        <w:t>Change?</w:t>
      </w:r>
    </w:p>
    <w:p w:rsidR="005E5B48" w:rsidRPr="003948BA" w:rsidRDefault="005E5B48">
      <w:pPr>
        <w:pStyle w:val="BodyText"/>
        <w:spacing w:before="8"/>
        <w:rPr>
          <w:b/>
          <w:sz w:val="25"/>
        </w:rPr>
      </w:pPr>
    </w:p>
    <w:p w:rsidR="005E5B48" w:rsidRPr="003948BA" w:rsidRDefault="00814043">
      <w:pPr>
        <w:pStyle w:val="BodyText"/>
        <w:ind w:left="1640" w:right="1013"/>
        <w:jc w:val="both"/>
      </w:pPr>
      <w:r w:rsidRPr="003948BA">
        <w:t>All Unit Holders are eligible to change their Unit Holder details if they so desire. For such change in particulars, a request shall be made via the Special Instructions Form. These Forms may be obtained from Distributors or Investment Facilitators or from the Management Company or through its website. In the case where Units are held in CDS account then requests should also be made through “Service Request Form” submitted to Distributors, Investment Facilities, or directly to the Management Company,</w:t>
      </w:r>
    </w:p>
    <w:p w:rsidR="005E5B48" w:rsidRPr="003948BA" w:rsidRDefault="005E5B48">
      <w:pPr>
        <w:pStyle w:val="BodyText"/>
        <w:spacing w:before="1"/>
      </w:pPr>
    </w:p>
    <w:p w:rsidR="005E5B48" w:rsidRPr="003948BA" w:rsidRDefault="00814043">
      <w:pPr>
        <w:pStyle w:val="BodyText"/>
        <w:ind w:left="1640" w:right="1025"/>
        <w:jc w:val="both"/>
      </w:pPr>
      <w:r w:rsidRPr="003948BA">
        <w:t>However, in the case where the Unit Holder desires to change Unit Holder details pertinent to their respective CDS account then request should be made through CDS Participant or the Investor Account Service (IAS) with which the account is maintained, according to the procedure laid down in CDCPL Regulations.</w:t>
      </w:r>
    </w:p>
    <w:p w:rsidR="005E5B48" w:rsidRPr="003948BA" w:rsidRDefault="005E5B48">
      <w:pPr>
        <w:pStyle w:val="BodyText"/>
        <w:spacing w:before="1"/>
      </w:pPr>
    </w:p>
    <w:p w:rsidR="005E5B48" w:rsidRPr="003948BA" w:rsidRDefault="00814043" w:rsidP="00A002A6">
      <w:pPr>
        <w:pStyle w:val="Heading5"/>
        <w:numPr>
          <w:ilvl w:val="2"/>
          <w:numId w:val="14"/>
        </w:numPr>
        <w:tabs>
          <w:tab w:val="left" w:pos="1640"/>
          <w:tab w:val="left" w:pos="1641"/>
        </w:tabs>
      </w:pPr>
      <w:r w:rsidRPr="003948BA">
        <w:t>Application Procedure for Change in</w:t>
      </w:r>
      <w:r w:rsidRPr="003948BA">
        <w:rPr>
          <w:spacing w:val="-14"/>
        </w:rPr>
        <w:t xml:space="preserve"> </w:t>
      </w:r>
      <w:r w:rsidRPr="003948BA">
        <w:t>Particulars</w:t>
      </w:r>
    </w:p>
    <w:p w:rsidR="005E5B48" w:rsidRPr="003948BA" w:rsidRDefault="005E5B48">
      <w:pPr>
        <w:pStyle w:val="BodyText"/>
        <w:rPr>
          <w:b/>
          <w:sz w:val="22"/>
        </w:rPr>
      </w:pPr>
    </w:p>
    <w:p w:rsidR="005E5B48" w:rsidRPr="003948BA" w:rsidRDefault="00814043" w:rsidP="00A002A6">
      <w:pPr>
        <w:pStyle w:val="ListParagraph"/>
        <w:numPr>
          <w:ilvl w:val="3"/>
          <w:numId w:val="14"/>
        </w:numPr>
        <w:tabs>
          <w:tab w:val="left" w:pos="1641"/>
        </w:tabs>
        <w:spacing w:before="163" w:line="229" w:lineRule="exact"/>
        <w:ind w:left="1640" w:hanging="360"/>
        <w:rPr>
          <w:sz w:val="20"/>
        </w:rPr>
      </w:pPr>
      <w:r w:rsidRPr="003948BA">
        <w:rPr>
          <w:sz w:val="20"/>
        </w:rPr>
        <w:t>Some of the key information which the Unit Holder can change is as</w:t>
      </w:r>
      <w:r w:rsidRPr="003948BA">
        <w:rPr>
          <w:spacing w:val="-41"/>
          <w:sz w:val="20"/>
        </w:rPr>
        <w:t xml:space="preserve"> </w:t>
      </w:r>
      <w:r w:rsidRPr="003948BA">
        <w:rPr>
          <w:sz w:val="20"/>
        </w:rPr>
        <w:t>follows:</w:t>
      </w:r>
    </w:p>
    <w:p w:rsidR="005E5B48" w:rsidRPr="003948BA" w:rsidRDefault="00814043" w:rsidP="00A002A6">
      <w:pPr>
        <w:pStyle w:val="ListParagraph"/>
        <w:numPr>
          <w:ilvl w:val="4"/>
          <w:numId w:val="14"/>
        </w:numPr>
        <w:tabs>
          <w:tab w:val="left" w:pos="2420"/>
          <w:tab w:val="left" w:pos="2421"/>
        </w:tabs>
        <w:spacing w:line="228" w:lineRule="exact"/>
        <w:ind w:hanging="401"/>
        <w:rPr>
          <w:sz w:val="20"/>
        </w:rPr>
      </w:pPr>
      <w:r w:rsidRPr="003948BA">
        <w:rPr>
          <w:sz w:val="20"/>
        </w:rPr>
        <w:t>Change in</w:t>
      </w:r>
      <w:r w:rsidRPr="003948BA">
        <w:rPr>
          <w:spacing w:val="-5"/>
          <w:sz w:val="20"/>
        </w:rPr>
        <w:t xml:space="preserve"> </w:t>
      </w:r>
      <w:r w:rsidRPr="003948BA">
        <w:rPr>
          <w:sz w:val="20"/>
        </w:rPr>
        <w:t>address</w:t>
      </w:r>
    </w:p>
    <w:p w:rsidR="005E5B48" w:rsidRPr="003948BA" w:rsidRDefault="00814043" w:rsidP="00A002A6">
      <w:pPr>
        <w:pStyle w:val="ListParagraph"/>
        <w:numPr>
          <w:ilvl w:val="4"/>
          <w:numId w:val="14"/>
        </w:numPr>
        <w:tabs>
          <w:tab w:val="left" w:pos="2420"/>
          <w:tab w:val="left" w:pos="2421"/>
        </w:tabs>
        <w:spacing w:line="229" w:lineRule="exact"/>
        <w:ind w:hanging="401"/>
        <w:rPr>
          <w:sz w:val="20"/>
        </w:rPr>
      </w:pPr>
      <w:r w:rsidRPr="003948BA">
        <w:rPr>
          <w:sz w:val="20"/>
        </w:rPr>
        <w:t>Change in Bank Account details</w:t>
      </w:r>
    </w:p>
    <w:p w:rsidR="005E5B48" w:rsidRPr="003948BA" w:rsidRDefault="00814043" w:rsidP="00A002A6">
      <w:pPr>
        <w:pStyle w:val="ListParagraph"/>
        <w:numPr>
          <w:ilvl w:val="4"/>
          <w:numId w:val="14"/>
        </w:numPr>
        <w:tabs>
          <w:tab w:val="left" w:pos="2420"/>
          <w:tab w:val="left" w:pos="2421"/>
        </w:tabs>
        <w:spacing w:before="3"/>
        <w:ind w:hanging="401"/>
        <w:rPr>
          <w:sz w:val="20"/>
        </w:rPr>
      </w:pPr>
      <w:r w:rsidRPr="003948BA">
        <w:rPr>
          <w:sz w:val="20"/>
        </w:rPr>
        <w:t>Account Operating</w:t>
      </w:r>
      <w:r w:rsidRPr="003948BA">
        <w:rPr>
          <w:spacing w:val="-7"/>
          <w:sz w:val="20"/>
        </w:rPr>
        <w:t xml:space="preserve"> </w:t>
      </w:r>
      <w:r w:rsidRPr="003948BA">
        <w:rPr>
          <w:sz w:val="20"/>
        </w:rPr>
        <w:t>instructions</w:t>
      </w:r>
    </w:p>
    <w:p w:rsidR="005E5B48" w:rsidRPr="003948BA" w:rsidRDefault="005E5B48">
      <w:pPr>
        <w:pStyle w:val="BodyText"/>
        <w:spacing w:before="1"/>
      </w:pPr>
    </w:p>
    <w:p w:rsidR="005E5B48" w:rsidRPr="003948BA" w:rsidRDefault="00814043">
      <w:pPr>
        <w:pStyle w:val="BodyText"/>
        <w:ind w:left="1820"/>
      </w:pPr>
      <w:r w:rsidRPr="003948BA">
        <w:t>Change will not be allowed in Title of account and CNIC.</w:t>
      </w:r>
    </w:p>
    <w:p w:rsidR="005E5B48" w:rsidRPr="003948BA" w:rsidRDefault="005E5B48">
      <w:pPr>
        <w:pStyle w:val="BodyText"/>
        <w:spacing w:before="8"/>
        <w:rPr>
          <w:sz w:val="30"/>
        </w:rPr>
      </w:pPr>
    </w:p>
    <w:p w:rsidR="005E5B48" w:rsidRPr="003948BA" w:rsidRDefault="00814043" w:rsidP="00A002A6">
      <w:pPr>
        <w:pStyle w:val="ListParagraph"/>
        <w:numPr>
          <w:ilvl w:val="3"/>
          <w:numId w:val="14"/>
        </w:numPr>
        <w:tabs>
          <w:tab w:val="left" w:pos="1641"/>
        </w:tabs>
        <w:spacing w:before="1"/>
        <w:ind w:left="1640" w:right="1019" w:hanging="360"/>
        <w:jc w:val="both"/>
        <w:rPr>
          <w:sz w:val="20"/>
        </w:rPr>
      </w:pPr>
      <w:r w:rsidRPr="003948BA">
        <w:rPr>
          <w:sz w:val="20"/>
        </w:rPr>
        <w:t xml:space="preserve">Fully completed Service Request Form has to be submitted by both Individuals and/or Institutional Investor(s). This Form should be delivered to any of the Authorized Branches </w:t>
      </w:r>
      <w:r w:rsidRPr="003948BA">
        <w:rPr>
          <w:sz w:val="20"/>
        </w:rPr>
        <w:lastRenderedPageBreak/>
        <w:t>of the Distribution Companies or may be submitted to the Management Company through an Investment Facilitator within Business Hours on a Dealing</w:t>
      </w:r>
      <w:r w:rsidRPr="003948BA">
        <w:rPr>
          <w:spacing w:val="-12"/>
          <w:sz w:val="20"/>
        </w:rPr>
        <w:t xml:space="preserve"> </w:t>
      </w:r>
      <w:r w:rsidRPr="003948BA">
        <w:rPr>
          <w:sz w:val="20"/>
        </w:rPr>
        <w:t>Day.</w:t>
      </w:r>
    </w:p>
    <w:p w:rsidR="005E5B48" w:rsidRPr="003948BA" w:rsidRDefault="00814043" w:rsidP="00A002A6">
      <w:pPr>
        <w:pStyle w:val="ListParagraph"/>
        <w:numPr>
          <w:ilvl w:val="3"/>
          <w:numId w:val="14"/>
        </w:numPr>
        <w:tabs>
          <w:tab w:val="left" w:pos="1641"/>
        </w:tabs>
        <w:spacing w:before="116"/>
        <w:ind w:left="1640" w:right="1034" w:hanging="360"/>
        <w:jc w:val="both"/>
        <w:rPr>
          <w:sz w:val="20"/>
        </w:rPr>
      </w:pPr>
      <w:r w:rsidRPr="003948BA">
        <w:rPr>
          <w:sz w:val="20"/>
        </w:rPr>
        <w:t>The applicant must obtain a copy of the Special Instructions Form signed and duly verified by an Authorized Officer of the Distributor or Management</w:t>
      </w:r>
      <w:r w:rsidRPr="003948BA">
        <w:rPr>
          <w:spacing w:val="-18"/>
          <w:sz w:val="20"/>
        </w:rPr>
        <w:t xml:space="preserve"> </w:t>
      </w:r>
      <w:r w:rsidRPr="003948BA">
        <w:rPr>
          <w:sz w:val="20"/>
        </w:rPr>
        <w:t>Company.</w:t>
      </w:r>
    </w:p>
    <w:p w:rsidR="005E5B48" w:rsidRPr="003948BA" w:rsidRDefault="005E5B48">
      <w:pPr>
        <w:pStyle w:val="BodyText"/>
        <w:spacing w:before="5"/>
        <w:rPr>
          <w:sz w:val="28"/>
        </w:rPr>
      </w:pPr>
    </w:p>
    <w:p w:rsidR="005E5B48" w:rsidRPr="003948BA" w:rsidRDefault="00814043" w:rsidP="00A002A6">
      <w:pPr>
        <w:pStyle w:val="ListParagraph"/>
        <w:numPr>
          <w:ilvl w:val="3"/>
          <w:numId w:val="14"/>
        </w:numPr>
        <w:tabs>
          <w:tab w:val="left" w:pos="1641"/>
        </w:tabs>
        <w:spacing w:before="1"/>
        <w:ind w:left="1640" w:right="1016" w:hanging="360"/>
        <w:jc w:val="both"/>
        <w:rPr>
          <w:sz w:val="20"/>
        </w:rPr>
      </w:pPr>
      <w:r w:rsidRPr="003948BA">
        <w:rPr>
          <w:sz w:val="20"/>
        </w:rPr>
        <w:t>The Distribution Company and /or Management Company will be entitled to verify the particulars given in the Special Instructions Form. In case of any incorrect information the application may be rejected if the applicant does not rectify the</w:t>
      </w:r>
      <w:r w:rsidRPr="003948BA">
        <w:rPr>
          <w:spacing w:val="-40"/>
          <w:sz w:val="20"/>
        </w:rPr>
        <w:t xml:space="preserve"> </w:t>
      </w:r>
      <w:r w:rsidRPr="003948BA">
        <w:rPr>
          <w:sz w:val="20"/>
        </w:rPr>
        <w:t>discrepancy.</w:t>
      </w:r>
    </w:p>
    <w:p w:rsidR="005E5B48" w:rsidRPr="003948BA" w:rsidRDefault="00814043" w:rsidP="00A002A6">
      <w:pPr>
        <w:pStyle w:val="ListParagraph"/>
        <w:numPr>
          <w:ilvl w:val="3"/>
          <w:numId w:val="14"/>
        </w:numPr>
        <w:tabs>
          <w:tab w:val="left" w:pos="1641"/>
        </w:tabs>
        <w:spacing w:before="119"/>
        <w:ind w:left="1640" w:right="1020" w:hanging="360"/>
        <w:jc w:val="both"/>
        <w:rPr>
          <w:sz w:val="20"/>
        </w:rPr>
      </w:pPr>
      <w:r w:rsidRPr="003948BA">
        <w:rPr>
          <w:sz w:val="20"/>
        </w:rPr>
        <w:t>The Unit Holder will be liable for any taxes, charges or duties that may be levied on any of the above changes. These taxes, charges or duties may either be recovered by redemption of Unit Holder equivalent Units at the time of the service request or the Management Company may require separate payment for such</w:t>
      </w:r>
      <w:r w:rsidRPr="003948BA">
        <w:rPr>
          <w:spacing w:val="-28"/>
          <w:sz w:val="20"/>
        </w:rPr>
        <w:t xml:space="preserve"> </w:t>
      </w:r>
      <w:r w:rsidRPr="003948BA">
        <w:rPr>
          <w:sz w:val="20"/>
        </w:rPr>
        <w:t>services.</w:t>
      </w:r>
    </w:p>
    <w:p w:rsidR="005E5B48" w:rsidRPr="003948BA" w:rsidRDefault="00814043" w:rsidP="00A002A6">
      <w:pPr>
        <w:pStyle w:val="ListParagraph"/>
        <w:numPr>
          <w:ilvl w:val="3"/>
          <w:numId w:val="14"/>
        </w:numPr>
        <w:tabs>
          <w:tab w:val="left" w:pos="1641"/>
        </w:tabs>
        <w:spacing w:before="119" w:line="223" w:lineRule="exact"/>
        <w:ind w:left="1640" w:hanging="360"/>
      </w:pPr>
      <w:r w:rsidRPr="003948BA">
        <w:rPr>
          <w:sz w:val="20"/>
        </w:rPr>
        <w:t>Unless the Joint Unit Holder(s) of Units have specified otherwise, all the Joint Unit</w:t>
      </w:r>
      <w:r w:rsidR="002826E9" w:rsidRPr="003948BA">
        <w:rPr>
          <w:sz w:val="20"/>
        </w:rPr>
        <w:t xml:space="preserve"> </w:t>
      </w:r>
      <w:r w:rsidRPr="003948BA">
        <w:t>Holder(s) shall sign the Special Instructions Form for such Units.</w:t>
      </w:r>
    </w:p>
    <w:p w:rsidR="005E5B48" w:rsidRPr="003948BA" w:rsidRDefault="005E5B48">
      <w:pPr>
        <w:pStyle w:val="BodyText"/>
        <w:spacing w:before="10"/>
        <w:rPr>
          <w:sz w:val="30"/>
        </w:rPr>
      </w:pPr>
    </w:p>
    <w:p w:rsidR="005E5B48" w:rsidRPr="003948BA" w:rsidRDefault="00814043" w:rsidP="00A002A6">
      <w:pPr>
        <w:pStyle w:val="Heading5"/>
        <w:numPr>
          <w:ilvl w:val="2"/>
          <w:numId w:val="14"/>
        </w:numPr>
        <w:tabs>
          <w:tab w:val="left" w:pos="1640"/>
          <w:tab w:val="left" w:pos="1641"/>
        </w:tabs>
      </w:pPr>
      <w:r w:rsidRPr="003948BA">
        <w:t>Transfer, Nomination,</w:t>
      </w:r>
      <w:r w:rsidRPr="003948BA">
        <w:rPr>
          <w:spacing w:val="-13"/>
        </w:rPr>
        <w:t xml:space="preserve"> </w:t>
      </w:r>
      <w:r w:rsidRPr="003948BA">
        <w:t>Transmission</w:t>
      </w:r>
    </w:p>
    <w:p w:rsidR="005E5B48" w:rsidRPr="003948BA" w:rsidRDefault="005E5B48">
      <w:pPr>
        <w:pStyle w:val="BodyText"/>
        <w:spacing w:before="3"/>
        <w:rPr>
          <w:b/>
          <w:sz w:val="21"/>
        </w:rPr>
      </w:pPr>
    </w:p>
    <w:p w:rsidR="005E5B48" w:rsidRPr="003948BA" w:rsidRDefault="00814043" w:rsidP="00A002A6">
      <w:pPr>
        <w:pStyle w:val="ListParagraph"/>
        <w:numPr>
          <w:ilvl w:val="0"/>
          <w:numId w:val="12"/>
        </w:numPr>
        <w:tabs>
          <w:tab w:val="left" w:pos="1641"/>
        </w:tabs>
        <w:spacing w:before="1"/>
        <w:ind w:right="1007"/>
        <w:jc w:val="both"/>
        <w:rPr>
          <w:sz w:val="20"/>
        </w:rPr>
      </w:pPr>
      <w:r w:rsidRPr="003948BA">
        <w:rPr>
          <w:sz w:val="20"/>
        </w:rPr>
        <w:t>Unit Holder may, subject to the law, transfer any Units of any Allocation Plan(s) held by them to any other person. The transfer shall be carried out after the Management Company/Transfer Agent has been satisfied that all the requisite formalities including the payment of any taxes and duties have been complied</w:t>
      </w:r>
      <w:r w:rsidRPr="003948BA">
        <w:rPr>
          <w:spacing w:val="-8"/>
          <w:sz w:val="20"/>
        </w:rPr>
        <w:t xml:space="preserve"> </w:t>
      </w:r>
      <w:r w:rsidRPr="003948BA">
        <w:rPr>
          <w:sz w:val="20"/>
        </w:rPr>
        <w:t>with.</w:t>
      </w:r>
    </w:p>
    <w:p w:rsidR="005E5B48" w:rsidRPr="003948BA" w:rsidRDefault="005E5B48">
      <w:pPr>
        <w:pStyle w:val="BodyText"/>
        <w:spacing w:before="9"/>
      </w:pPr>
    </w:p>
    <w:p w:rsidR="005E5B48" w:rsidRPr="003948BA" w:rsidRDefault="00814043" w:rsidP="00A002A6">
      <w:pPr>
        <w:pStyle w:val="ListParagraph"/>
        <w:numPr>
          <w:ilvl w:val="0"/>
          <w:numId w:val="12"/>
        </w:numPr>
        <w:tabs>
          <w:tab w:val="left" w:pos="1641"/>
        </w:tabs>
        <w:ind w:right="1014"/>
        <w:jc w:val="both"/>
        <w:rPr>
          <w:sz w:val="20"/>
        </w:rPr>
      </w:pPr>
      <w:r w:rsidRPr="003948BA">
        <w:rPr>
          <w:sz w:val="20"/>
        </w:rPr>
        <w:t>Both the transferor and the transferee must sign every Instrument/ Form of transfer and the transferor shall be deemed to remain the Holder of the Units transferred until the name of the transferee is entered in the register. Every Instrument/ Form of transfer must be duly completed in all respects including affixation of transfer stamps of the requisite</w:t>
      </w:r>
      <w:r w:rsidRPr="003948BA">
        <w:rPr>
          <w:spacing w:val="-43"/>
          <w:sz w:val="20"/>
        </w:rPr>
        <w:t xml:space="preserve"> </w:t>
      </w:r>
      <w:r w:rsidRPr="003948BA">
        <w:rPr>
          <w:sz w:val="20"/>
        </w:rPr>
        <w:t>value.</w:t>
      </w:r>
    </w:p>
    <w:p w:rsidR="005E5B48" w:rsidRPr="003948BA" w:rsidRDefault="005E5B48">
      <w:pPr>
        <w:pStyle w:val="BodyText"/>
        <w:spacing w:before="10"/>
      </w:pPr>
    </w:p>
    <w:p w:rsidR="005E5B48" w:rsidRPr="003948BA" w:rsidRDefault="00814043" w:rsidP="00A002A6">
      <w:pPr>
        <w:pStyle w:val="ListParagraph"/>
        <w:numPr>
          <w:ilvl w:val="0"/>
          <w:numId w:val="12"/>
        </w:numPr>
        <w:tabs>
          <w:tab w:val="left" w:pos="1641"/>
        </w:tabs>
        <w:ind w:right="1009"/>
        <w:jc w:val="both"/>
        <w:rPr>
          <w:sz w:val="20"/>
        </w:rPr>
      </w:pPr>
      <w:r w:rsidRPr="003948BA">
        <w:rPr>
          <w:sz w:val="20"/>
        </w:rPr>
        <w:t>Where Certificates have been issued, the Management Company / Transfer Agent with the consent of the Trustee may dispense with the production of any Certificate that shall have become lost, stolen or destroyed upon compliance by the Unit Holder(s) with the like requirements to those arising in the case of an application by him for the replacement thereof as provided in this Offering Document. The Management Company or the Transfer Agent shall retain all instruments of</w:t>
      </w:r>
      <w:r w:rsidRPr="003948BA">
        <w:rPr>
          <w:spacing w:val="-13"/>
          <w:sz w:val="20"/>
        </w:rPr>
        <w:t xml:space="preserve"> </w:t>
      </w:r>
      <w:r w:rsidRPr="003948BA">
        <w:rPr>
          <w:sz w:val="20"/>
        </w:rPr>
        <w:t>transfer.</w:t>
      </w:r>
    </w:p>
    <w:p w:rsidR="005E5B48" w:rsidRPr="003948BA" w:rsidRDefault="005E5B48">
      <w:pPr>
        <w:pStyle w:val="BodyText"/>
        <w:spacing w:before="7"/>
      </w:pPr>
    </w:p>
    <w:p w:rsidR="005E5B48" w:rsidRPr="003948BA" w:rsidRDefault="00814043" w:rsidP="00A002A6">
      <w:pPr>
        <w:pStyle w:val="ListParagraph"/>
        <w:numPr>
          <w:ilvl w:val="0"/>
          <w:numId w:val="12"/>
        </w:numPr>
        <w:tabs>
          <w:tab w:val="left" w:pos="1641"/>
        </w:tabs>
        <w:ind w:right="1003"/>
        <w:jc w:val="both"/>
        <w:rPr>
          <w:sz w:val="20"/>
        </w:rPr>
      </w:pPr>
      <w:r w:rsidRPr="003948BA">
        <w:rPr>
          <w:sz w:val="20"/>
        </w:rPr>
        <w:t xml:space="preserve">The Transfer Agent shall, with the prior approval of the Management Company or the Management Company itself be entitled to destroy all instruments of transfer or the copies thereof, as the case may be, which have been registered at any time after the expiration of ten years from the date of registration thereof and all the Certificates which have been cancelled at any time after the expiration of ten years from the date of cancellation thereof and all registers, statements and other records and documents relating to the Trust at any time after the expiration of ten years from transmission to the Trust. The Trustee or the Management Company or the Transfer Agent shall be under no liability, whatsoever, in consequence thereof and it shall conclusively be presumed in favor of the Trustee or the Management Company or the Transfer Agent that every Unit of Transfer so destroyed was a valid and effective instrument duly and properly registered by the Trustee or the Management Company or the Transfer Agent and that every Certificate so destroyed was a valid Certificate duly and properly cancelled, provided that (i) this provision shall apply only to the destruction of a document in good faith and without notice of any claim (regardless of the parties thereto) to which the document may be relevant; (ii) nothing in this sub-clause shall impose upon the Trustee or the Management Company or the Transfer Agent any liability in respect of the destruction of any document earlier than as aforesaid or in any case where the conditions of provision (i) above are not fulfilled. Reference herein to the destruction of any document includes reference to the disposal thereof in any manner. Complete list of unclaimed dividends will be maintained by AMCs and shall not be destroyed. Unit Holder </w:t>
      </w:r>
      <w:r w:rsidRPr="003948BA">
        <w:rPr>
          <w:spacing w:val="2"/>
          <w:sz w:val="20"/>
        </w:rPr>
        <w:t xml:space="preserve">may </w:t>
      </w:r>
      <w:r w:rsidRPr="003948BA">
        <w:rPr>
          <w:sz w:val="20"/>
        </w:rPr>
        <w:t>nominate any successor/ nominee for transmission, subject to all legal requirements, in case of the decease of Unit</w:t>
      </w:r>
      <w:r w:rsidRPr="003948BA">
        <w:rPr>
          <w:spacing w:val="-45"/>
          <w:sz w:val="20"/>
        </w:rPr>
        <w:t xml:space="preserve"> </w:t>
      </w:r>
      <w:r w:rsidRPr="003948BA">
        <w:rPr>
          <w:sz w:val="20"/>
        </w:rPr>
        <w:t>Holder.</w:t>
      </w:r>
    </w:p>
    <w:p w:rsidR="005E5B48" w:rsidRPr="003948BA" w:rsidRDefault="005E5B48">
      <w:pPr>
        <w:pStyle w:val="BodyText"/>
        <w:spacing w:before="5"/>
        <w:rPr>
          <w:sz w:val="27"/>
        </w:rPr>
      </w:pPr>
    </w:p>
    <w:p w:rsidR="005E5B48" w:rsidRPr="003948BA" w:rsidRDefault="00814043" w:rsidP="00A002A6">
      <w:pPr>
        <w:pStyle w:val="ListParagraph"/>
        <w:numPr>
          <w:ilvl w:val="0"/>
          <w:numId w:val="12"/>
        </w:numPr>
        <w:tabs>
          <w:tab w:val="left" w:pos="1641"/>
        </w:tabs>
        <w:ind w:right="1016"/>
        <w:jc w:val="both"/>
      </w:pPr>
      <w:r w:rsidRPr="003948BA">
        <w:rPr>
          <w:sz w:val="20"/>
        </w:rPr>
        <w:t xml:space="preserve">Transmission of Units to successors in case of inheritance or distribution of the estate of a deceased Unit Holder shall be processed by the Transfer Agent or the Management Company itself as Registrar after satisfying as to all legal requirements such as intimation </w:t>
      </w:r>
      <w:r w:rsidRPr="003948BA">
        <w:rPr>
          <w:sz w:val="20"/>
        </w:rPr>
        <w:lastRenderedPageBreak/>
        <w:t>of death of deceased Unit Holder along-with certified copy of death certificate, indemnity from nominee along-with copy of CNIC of nominee and deceased Unit Holder</w:t>
      </w:r>
      <w:r w:rsidR="00013225" w:rsidRPr="003948BA">
        <w:rPr>
          <w:sz w:val="20"/>
        </w:rPr>
        <w:t>, original</w:t>
      </w:r>
      <w:r w:rsidRPr="003948BA">
        <w:rPr>
          <w:sz w:val="20"/>
        </w:rPr>
        <w:t xml:space="preserve"> unit certificate (in case of physical certificate) etc. The legal costs and taxes, if any, shall </w:t>
      </w:r>
      <w:r w:rsidRPr="003948BA">
        <w:t>be borne and paid by the transferees. However, the processing fee shall not be payable by successors or the beneficiaries of the estate in the case of transmission. The Management Company shall pay the relevant processing fee to the Transfer</w:t>
      </w:r>
      <w:r w:rsidRPr="003948BA">
        <w:rPr>
          <w:spacing w:val="-2"/>
        </w:rPr>
        <w:t xml:space="preserve"> </w:t>
      </w:r>
      <w:r w:rsidRPr="003948BA">
        <w:t>Agent.</w:t>
      </w:r>
    </w:p>
    <w:p w:rsidR="005E5B48" w:rsidRPr="003948BA" w:rsidRDefault="005E5B48">
      <w:pPr>
        <w:pStyle w:val="BodyText"/>
        <w:spacing w:before="9"/>
      </w:pPr>
    </w:p>
    <w:p w:rsidR="005A03AE" w:rsidRPr="003948BA" w:rsidRDefault="005A03AE">
      <w:pPr>
        <w:pStyle w:val="BodyText"/>
        <w:spacing w:before="9"/>
      </w:pPr>
    </w:p>
    <w:p w:rsidR="005A03AE" w:rsidRPr="003948BA" w:rsidRDefault="005A03AE">
      <w:pPr>
        <w:pStyle w:val="BodyText"/>
        <w:spacing w:before="9"/>
      </w:pPr>
    </w:p>
    <w:p w:rsidR="005E5B48" w:rsidRPr="003948BA" w:rsidRDefault="00814043" w:rsidP="00A002A6">
      <w:pPr>
        <w:pStyle w:val="ListParagraph"/>
        <w:numPr>
          <w:ilvl w:val="0"/>
          <w:numId w:val="12"/>
        </w:numPr>
        <w:tabs>
          <w:tab w:val="left" w:pos="1641"/>
        </w:tabs>
        <w:ind w:right="1020"/>
        <w:jc w:val="both"/>
      </w:pPr>
      <w:r w:rsidRPr="003948BA">
        <w:rPr>
          <w:sz w:val="20"/>
        </w:rPr>
        <w:t>A Unit Holder may convert the Units in a Unit Trust Scheme managed by the Management Company into Units of another Unit Trust Scheme managed by the Management Company by redeeming the Units of first Scheme and issuance of Units of later Scheme(s) at the relevant price applicable for the day. The Transfer Agent or Management Company itself shall carry out the conversion after satisfying that all the requisite formalities have been fulfilled</w:t>
      </w:r>
      <w:r w:rsidRPr="003948BA">
        <w:rPr>
          <w:spacing w:val="13"/>
          <w:sz w:val="20"/>
        </w:rPr>
        <w:t xml:space="preserve"> </w:t>
      </w:r>
      <w:r w:rsidRPr="003948BA">
        <w:rPr>
          <w:sz w:val="20"/>
        </w:rPr>
        <w:t>and</w:t>
      </w:r>
      <w:r w:rsidRPr="003948BA">
        <w:rPr>
          <w:spacing w:val="11"/>
          <w:sz w:val="20"/>
        </w:rPr>
        <w:t xml:space="preserve"> </w:t>
      </w:r>
      <w:r w:rsidRPr="003948BA">
        <w:rPr>
          <w:sz w:val="20"/>
        </w:rPr>
        <w:t>payment</w:t>
      </w:r>
      <w:r w:rsidRPr="003948BA">
        <w:rPr>
          <w:spacing w:val="12"/>
          <w:sz w:val="20"/>
        </w:rPr>
        <w:t xml:space="preserve"> </w:t>
      </w:r>
      <w:r w:rsidRPr="003948BA">
        <w:rPr>
          <w:sz w:val="20"/>
        </w:rPr>
        <w:t>of</w:t>
      </w:r>
      <w:r w:rsidRPr="003948BA">
        <w:rPr>
          <w:spacing w:val="13"/>
          <w:sz w:val="20"/>
        </w:rPr>
        <w:t xml:space="preserve"> </w:t>
      </w:r>
      <w:r w:rsidRPr="003948BA">
        <w:rPr>
          <w:sz w:val="20"/>
        </w:rPr>
        <w:t>the</w:t>
      </w:r>
      <w:r w:rsidRPr="003948BA">
        <w:rPr>
          <w:spacing w:val="13"/>
          <w:sz w:val="20"/>
        </w:rPr>
        <w:t xml:space="preserve"> </w:t>
      </w:r>
      <w:r w:rsidRPr="003948BA">
        <w:rPr>
          <w:sz w:val="20"/>
        </w:rPr>
        <w:t>applicable</w:t>
      </w:r>
      <w:r w:rsidRPr="003948BA">
        <w:rPr>
          <w:spacing w:val="11"/>
          <w:sz w:val="20"/>
        </w:rPr>
        <w:t xml:space="preserve"> </w:t>
      </w:r>
      <w:r w:rsidRPr="003948BA">
        <w:rPr>
          <w:sz w:val="20"/>
        </w:rPr>
        <w:t>taxes,</w:t>
      </w:r>
      <w:r w:rsidRPr="003948BA">
        <w:rPr>
          <w:spacing w:val="12"/>
          <w:sz w:val="20"/>
        </w:rPr>
        <w:t xml:space="preserve"> </w:t>
      </w:r>
      <w:r w:rsidRPr="003948BA">
        <w:rPr>
          <w:sz w:val="20"/>
        </w:rPr>
        <w:t>fees</w:t>
      </w:r>
      <w:r w:rsidRPr="003948BA">
        <w:rPr>
          <w:spacing w:val="13"/>
          <w:sz w:val="20"/>
        </w:rPr>
        <w:t xml:space="preserve"> </w:t>
      </w:r>
      <w:r w:rsidRPr="003948BA">
        <w:rPr>
          <w:sz w:val="20"/>
        </w:rPr>
        <w:t>and/or</w:t>
      </w:r>
      <w:r w:rsidRPr="003948BA">
        <w:rPr>
          <w:spacing w:val="12"/>
          <w:sz w:val="20"/>
        </w:rPr>
        <w:t xml:space="preserve"> </w:t>
      </w:r>
      <w:r w:rsidRPr="003948BA">
        <w:rPr>
          <w:sz w:val="20"/>
        </w:rPr>
        <w:t>load,</w:t>
      </w:r>
      <w:r w:rsidRPr="003948BA">
        <w:rPr>
          <w:spacing w:val="11"/>
          <w:sz w:val="20"/>
        </w:rPr>
        <w:t xml:space="preserve"> </w:t>
      </w:r>
      <w:r w:rsidRPr="003948BA">
        <w:rPr>
          <w:sz w:val="20"/>
        </w:rPr>
        <w:t>if</w:t>
      </w:r>
      <w:r w:rsidRPr="003948BA">
        <w:rPr>
          <w:spacing w:val="15"/>
          <w:sz w:val="20"/>
        </w:rPr>
        <w:t xml:space="preserve"> </w:t>
      </w:r>
      <w:r w:rsidRPr="003948BA">
        <w:rPr>
          <w:sz w:val="20"/>
        </w:rPr>
        <w:t>any,</w:t>
      </w:r>
      <w:r w:rsidRPr="003948BA">
        <w:rPr>
          <w:spacing w:val="15"/>
          <w:sz w:val="20"/>
        </w:rPr>
        <w:t xml:space="preserve"> </w:t>
      </w:r>
      <w:r w:rsidRPr="003948BA">
        <w:rPr>
          <w:sz w:val="20"/>
        </w:rPr>
        <w:t>has</w:t>
      </w:r>
      <w:r w:rsidRPr="003948BA">
        <w:rPr>
          <w:spacing w:val="13"/>
          <w:sz w:val="20"/>
        </w:rPr>
        <w:t xml:space="preserve"> </w:t>
      </w:r>
      <w:r w:rsidRPr="003948BA">
        <w:rPr>
          <w:sz w:val="20"/>
        </w:rPr>
        <w:t>been</w:t>
      </w:r>
      <w:r w:rsidRPr="003948BA">
        <w:rPr>
          <w:spacing w:val="11"/>
          <w:sz w:val="20"/>
        </w:rPr>
        <w:t xml:space="preserve"> </w:t>
      </w:r>
      <w:r w:rsidRPr="003948BA">
        <w:rPr>
          <w:sz w:val="20"/>
        </w:rPr>
        <w:t>received.</w:t>
      </w:r>
      <w:r w:rsidR="002826E9" w:rsidRPr="003948BA">
        <w:rPr>
          <w:sz w:val="20"/>
        </w:rPr>
        <w:t xml:space="preserve"> </w:t>
      </w:r>
      <w:r w:rsidRPr="003948BA">
        <w:t>The Management Company may impose a time limit before which conversion may not be allowed.</w:t>
      </w:r>
    </w:p>
    <w:p w:rsidR="005E5B48" w:rsidRPr="003948BA" w:rsidRDefault="005E5B48">
      <w:pPr>
        <w:pStyle w:val="BodyText"/>
        <w:spacing w:before="3"/>
      </w:pPr>
    </w:p>
    <w:p w:rsidR="005E5B48" w:rsidRPr="003948BA" w:rsidRDefault="00814043" w:rsidP="00A002A6">
      <w:pPr>
        <w:pStyle w:val="ListParagraph"/>
        <w:numPr>
          <w:ilvl w:val="0"/>
          <w:numId w:val="12"/>
        </w:numPr>
        <w:tabs>
          <w:tab w:val="left" w:pos="1641"/>
        </w:tabs>
        <w:spacing w:before="1"/>
        <w:ind w:right="1009"/>
        <w:jc w:val="both"/>
        <w:rPr>
          <w:sz w:val="20"/>
        </w:rPr>
      </w:pPr>
      <w:r w:rsidRPr="003948BA">
        <w:rPr>
          <w:sz w:val="20"/>
        </w:rPr>
        <w:t>A Unit Holder may merge the Units which he/she has invested with two folio/registration numbers into one folio/ registration number. The Transfer Agent shall carry out the merger after satisfying that all the requisite formalities have been completed and payment of applicable taxes and fee, if any, has been</w:t>
      </w:r>
      <w:r w:rsidRPr="003948BA">
        <w:rPr>
          <w:spacing w:val="-9"/>
          <w:sz w:val="20"/>
        </w:rPr>
        <w:t xml:space="preserve"> </w:t>
      </w:r>
      <w:r w:rsidRPr="003948BA">
        <w:rPr>
          <w:sz w:val="20"/>
        </w:rPr>
        <w:t>received.</w:t>
      </w:r>
    </w:p>
    <w:p w:rsidR="005E5B48" w:rsidRPr="003948BA" w:rsidRDefault="005E5B48">
      <w:pPr>
        <w:pStyle w:val="BodyText"/>
        <w:spacing w:before="4"/>
      </w:pPr>
    </w:p>
    <w:p w:rsidR="005E5B48" w:rsidRPr="003948BA" w:rsidRDefault="00814043" w:rsidP="00A002A6">
      <w:pPr>
        <w:pStyle w:val="Heading5"/>
        <w:numPr>
          <w:ilvl w:val="2"/>
          <w:numId w:val="14"/>
        </w:numPr>
        <w:tabs>
          <w:tab w:val="left" w:pos="1640"/>
          <w:tab w:val="left" w:pos="1641"/>
        </w:tabs>
      </w:pPr>
      <w:r w:rsidRPr="003948BA">
        <w:t>Conversion</w:t>
      </w:r>
    </w:p>
    <w:p w:rsidR="005E5B48" w:rsidRPr="003948BA" w:rsidRDefault="00814043">
      <w:pPr>
        <w:pStyle w:val="BodyText"/>
        <w:spacing w:before="63"/>
        <w:ind w:left="1640" w:right="1010"/>
        <w:jc w:val="both"/>
      </w:pPr>
      <w:r w:rsidRPr="003948BA">
        <w:t>Conversion of Units of an Allocation Plan to Units of any other Allocation Plan offered under this Scheme, conversion of Units of the Allocation Plan(s) to/ from Units of any other Scheme managed by the Management Company can be carried out by submitting the duly filled Conversion Application Form, or any other Form as designated by the Management Company for the purpose of conversion from time to time, to the Authorized Branch of the Management Company together with any certificate / document required. Physical Certificates, if issued, must accompany the</w:t>
      </w:r>
      <w:r w:rsidRPr="003948BA">
        <w:rPr>
          <w:spacing w:val="-13"/>
        </w:rPr>
        <w:t xml:space="preserve"> </w:t>
      </w:r>
      <w:r w:rsidRPr="003948BA">
        <w:t>form.</w:t>
      </w:r>
    </w:p>
    <w:p w:rsidR="005E5B48" w:rsidRPr="003948BA" w:rsidRDefault="005E5B48">
      <w:pPr>
        <w:pStyle w:val="BodyText"/>
        <w:spacing w:before="6"/>
      </w:pPr>
    </w:p>
    <w:p w:rsidR="005E5B48" w:rsidRPr="003948BA" w:rsidRDefault="00814043" w:rsidP="00A002A6">
      <w:pPr>
        <w:pStyle w:val="Heading5"/>
        <w:numPr>
          <w:ilvl w:val="2"/>
          <w:numId w:val="14"/>
        </w:numPr>
        <w:tabs>
          <w:tab w:val="left" w:pos="1640"/>
          <w:tab w:val="left" w:pos="1641"/>
        </w:tabs>
      </w:pPr>
      <w:r w:rsidRPr="003948BA">
        <w:t>Partial</w:t>
      </w:r>
      <w:r w:rsidRPr="003948BA">
        <w:rPr>
          <w:spacing w:val="-7"/>
        </w:rPr>
        <w:t xml:space="preserve"> </w:t>
      </w:r>
      <w:r w:rsidRPr="003948BA">
        <w:t>Transfer</w:t>
      </w:r>
    </w:p>
    <w:p w:rsidR="005E5B48" w:rsidRPr="003948BA" w:rsidRDefault="00814043">
      <w:pPr>
        <w:pStyle w:val="BodyText"/>
        <w:ind w:left="1640" w:right="1027"/>
        <w:jc w:val="both"/>
      </w:pPr>
      <w:r w:rsidRPr="003948BA">
        <w:t>Partial transfer of Units covered by a single Certificate is permitted provided that in case of physical certificates issued, the Unit Holder must apply for splitting of the unit certificate representing the partial amount and then the new certificate shall be applied for transfer.</w:t>
      </w:r>
    </w:p>
    <w:p w:rsidR="005E5B48" w:rsidRPr="003948BA" w:rsidRDefault="005E5B48">
      <w:pPr>
        <w:pStyle w:val="BodyText"/>
        <w:rPr>
          <w:sz w:val="32"/>
        </w:rPr>
      </w:pPr>
    </w:p>
    <w:p w:rsidR="005E5B48" w:rsidRPr="003948BA" w:rsidRDefault="00814043" w:rsidP="00A002A6">
      <w:pPr>
        <w:pStyle w:val="Heading5"/>
        <w:numPr>
          <w:ilvl w:val="1"/>
          <w:numId w:val="14"/>
        </w:numPr>
        <w:tabs>
          <w:tab w:val="left" w:pos="1640"/>
          <w:tab w:val="left" w:pos="1641"/>
        </w:tabs>
        <w:spacing w:before="1"/>
        <w:ind w:left="1640"/>
        <w:jc w:val="left"/>
      </w:pPr>
      <w:bookmarkStart w:id="59" w:name="_bookmark49"/>
      <w:bookmarkEnd w:id="59"/>
      <w:r w:rsidRPr="003948BA">
        <w:t>Procedure for Pledge / Lien / Charge of</w:t>
      </w:r>
      <w:r w:rsidRPr="003948BA">
        <w:rPr>
          <w:spacing w:val="-23"/>
        </w:rPr>
        <w:t xml:space="preserve"> </w:t>
      </w:r>
      <w:r w:rsidRPr="003948BA">
        <w:t>Units</w:t>
      </w:r>
    </w:p>
    <w:p w:rsidR="005E5B48" w:rsidRPr="003948BA" w:rsidRDefault="005E5B48">
      <w:pPr>
        <w:pStyle w:val="BodyText"/>
        <w:spacing w:before="7"/>
        <w:rPr>
          <w:b/>
        </w:rPr>
      </w:pPr>
    </w:p>
    <w:p w:rsidR="005E5B48" w:rsidRPr="003948BA" w:rsidRDefault="00814043" w:rsidP="00A002A6">
      <w:pPr>
        <w:pStyle w:val="ListParagraph"/>
        <w:numPr>
          <w:ilvl w:val="2"/>
          <w:numId w:val="14"/>
        </w:numPr>
        <w:tabs>
          <w:tab w:val="left" w:pos="1640"/>
          <w:tab w:val="left" w:pos="1641"/>
        </w:tabs>
        <w:spacing w:before="1"/>
        <w:rPr>
          <w:b/>
          <w:sz w:val="20"/>
        </w:rPr>
      </w:pPr>
      <w:r w:rsidRPr="003948BA">
        <w:rPr>
          <w:b/>
          <w:sz w:val="20"/>
        </w:rPr>
        <w:t>Who Can</w:t>
      </w:r>
      <w:r w:rsidRPr="003948BA">
        <w:rPr>
          <w:b/>
          <w:spacing w:val="-6"/>
          <w:sz w:val="20"/>
        </w:rPr>
        <w:t xml:space="preserve"> </w:t>
      </w:r>
      <w:r w:rsidRPr="003948BA">
        <w:rPr>
          <w:b/>
          <w:sz w:val="20"/>
        </w:rPr>
        <w:t>Apply?</w:t>
      </w:r>
    </w:p>
    <w:p w:rsidR="005E5B48" w:rsidRPr="003948BA" w:rsidRDefault="00814043" w:rsidP="00A002A6">
      <w:pPr>
        <w:pStyle w:val="ListParagraph"/>
        <w:numPr>
          <w:ilvl w:val="3"/>
          <w:numId w:val="14"/>
        </w:numPr>
        <w:tabs>
          <w:tab w:val="left" w:pos="1641"/>
        </w:tabs>
        <w:spacing w:before="184"/>
        <w:ind w:left="1640" w:right="1013" w:hanging="360"/>
        <w:jc w:val="both"/>
        <w:rPr>
          <w:sz w:val="20"/>
        </w:rPr>
      </w:pPr>
      <w:r w:rsidRPr="003948BA">
        <w:rPr>
          <w:sz w:val="20"/>
        </w:rPr>
        <w:t>All Unit Holders of Allocation Plans are eligible to apply for pledge / lien / charge of Units if they so desire. Such Pledge / Lien / Charge can be made via the Pledge of Units Form as attached in Annexure “D” of this Offering Document. These forms may be obtained from Distributors or Investment Facilitators or from the Management Company or through its website. However, if Units are held in CDS account then request should be made to the CDS Participant or the Investor Account Service (IAS) with which the account is maintained, according to the procedure laid down in CDCPL</w:t>
      </w:r>
      <w:r w:rsidRPr="003948BA">
        <w:rPr>
          <w:spacing w:val="-21"/>
          <w:sz w:val="20"/>
        </w:rPr>
        <w:t xml:space="preserve"> </w:t>
      </w:r>
      <w:r w:rsidRPr="003948BA">
        <w:rPr>
          <w:sz w:val="20"/>
        </w:rPr>
        <w:t>Regulations.</w:t>
      </w:r>
    </w:p>
    <w:p w:rsidR="005E5B48" w:rsidRPr="003948BA" w:rsidRDefault="00814043" w:rsidP="00A002A6">
      <w:pPr>
        <w:pStyle w:val="ListParagraph"/>
        <w:numPr>
          <w:ilvl w:val="3"/>
          <w:numId w:val="14"/>
        </w:numPr>
        <w:tabs>
          <w:tab w:val="left" w:pos="1641"/>
        </w:tabs>
        <w:spacing w:before="121"/>
        <w:ind w:left="1640" w:right="1013" w:hanging="360"/>
        <w:jc w:val="both"/>
        <w:rPr>
          <w:sz w:val="20"/>
        </w:rPr>
      </w:pPr>
      <w:r w:rsidRPr="003948BA">
        <w:rPr>
          <w:sz w:val="20"/>
        </w:rPr>
        <w:t>Any Unit Holder of Allocation Plan(s) either singly or with Joint Unit Holder(s) (where required) may request the Management Company or Transfer Agent to record a pledge / lien of all or any of his / her/ their Units in favor of any third party legally entitled to invest in such Units in its own right. The Management Company or Transfer Agent shall register a lien on any Unit in favor of any third party with the consent of the Management Company. However, the lien shall be valid only if evidenced by an account statement or letter issued by the Management Company or Transfer Agent with the Units marked in favor of the Pledgee. The onus for due process having been followed in registering a lien shall lie with the party claiming the</w:t>
      </w:r>
      <w:r w:rsidRPr="003948BA">
        <w:rPr>
          <w:spacing w:val="-13"/>
          <w:sz w:val="20"/>
        </w:rPr>
        <w:t xml:space="preserve"> </w:t>
      </w:r>
      <w:r w:rsidRPr="003948BA">
        <w:rPr>
          <w:sz w:val="20"/>
        </w:rPr>
        <w:t>lien.</w:t>
      </w:r>
    </w:p>
    <w:p w:rsidR="005E5B48" w:rsidRPr="003948BA" w:rsidRDefault="00814043" w:rsidP="00A002A6">
      <w:pPr>
        <w:pStyle w:val="ListParagraph"/>
        <w:numPr>
          <w:ilvl w:val="3"/>
          <w:numId w:val="14"/>
        </w:numPr>
        <w:tabs>
          <w:tab w:val="left" w:pos="1641"/>
        </w:tabs>
        <w:spacing w:before="74"/>
        <w:ind w:left="1640" w:right="1018" w:hanging="360"/>
        <w:jc w:val="both"/>
      </w:pPr>
      <w:r w:rsidRPr="003948BA">
        <w:rPr>
          <w:sz w:val="20"/>
        </w:rPr>
        <w:t xml:space="preserve">The lien once registered shall be removed by the authority of the party in whose favor the lien has been registered or through an order of a competent court. Neither the Trustee, nor </w:t>
      </w:r>
      <w:r w:rsidRPr="003948BA">
        <w:rPr>
          <w:sz w:val="20"/>
        </w:rPr>
        <w:lastRenderedPageBreak/>
        <w:t xml:space="preserve">the Management Company, nor the Transfer Agent, shall be liable for ensuring the validity of any such pledge / charge / lien. The disbursement of any loan or undertaking of any </w:t>
      </w:r>
      <w:r w:rsidRPr="003948BA">
        <w:t>obligation against the constitution of such pledge/charge/lien by any party shall be at the entire discretion of such party and neither the Trustee nor the Management Company and the Transfer Agent shall take any responsibility in this</w:t>
      </w:r>
      <w:r w:rsidRPr="003948BA">
        <w:rPr>
          <w:spacing w:val="-18"/>
        </w:rPr>
        <w:t xml:space="preserve"> </w:t>
      </w:r>
      <w:r w:rsidRPr="003948BA">
        <w:t>matter.</w:t>
      </w:r>
    </w:p>
    <w:p w:rsidR="005E5B48" w:rsidRPr="003948BA" w:rsidRDefault="00814043" w:rsidP="00A002A6">
      <w:pPr>
        <w:pStyle w:val="ListParagraph"/>
        <w:numPr>
          <w:ilvl w:val="3"/>
          <w:numId w:val="14"/>
        </w:numPr>
        <w:tabs>
          <w:tab w:val="left" w:pos="1641"/>
        </w:tabs>
        <w:spacing w:before="121"/>
        <w:ind w:left="1640" w:right="1016" w:hanging="360"/>
        <w:jc w:val="both"/>
        <w:rPr>
          <w:sz w:val="20"/>
        </w:rPr>
      </w:pPr>
      <w:r w:rsidRPr="003948BA">
        <w:rPr>
          <w:sz w:val="20"/>
        </w:rPr>
        <w:t xml:space="preserve">Payments of cash dividends or the issue of bonus Units and redemption proceeds of the Units or any benefits arising from the said Units that are kept under lien / charge / pledge shall be paid to the order of the lien / charge / </w:t>
      </w:r>
      <w:r w:rsidR="00207F45" w:rsidRPr="003948BA">
        <w:rPr>
          <w:sz w:val="20"/>
        </w:rPr>
        <w:t>pledgers</w:t>
      </w:r>
      <w:r w:rsidRPr="003948BA">
        <w:rPr>
          <w:sz w:val="20"/>
        </w:rPr>
        <w:t xml:space="preserve"> </w:t>
      </w:r>
      <w:proofErr w:type="spellStart"/>
      <w:r w:rsidRPr="003948BA">
        <w:rPr>
          <w:sz w:val="20"/>
        </w:rPr>
        <w:t>holder‟s</w:t>
      </w:r>
      <w:proofErr w:type="spellEnd"/>
      <w:r w:rsidRPr="003948BA">
        <w:rPr>
          <w:sz w:val="20"/>
        </w:rPr>
        <w:t xml:space="preserve"> bank account or posted to the registered address of Pledgor mentioned in the Pledge Form and/or Investor Account Opening Form submitted. In case of Units are pledged through Central Depository System, payments of cash dividends or the issuance of bonus Units goes to the Pledgor as per Central Depositories</w:t>
      </w:r>
      <w:r w:rsidRPr="003948BA">
        <w:rPr>
          <w:spacing w:val="-8"/>
          <w:sz w:val="20"/>
        </w:rPr>
        <w:t xml:space="preserve"> </w:t>
      </w:r>
      <w:r w:rsidRPr="003948BA">
        <w:rPr>
          <w:sz w:val="20"/>
        </w:rPr>
        <w:t>Act.</w:t>
      </w:r>
    </w:p>
    <w:p w:rsidR="005E5B48" w:rsidRPr="003948BA" w:rsidRDefault="00814043" w:rsidP="00A002A6">
      <w:pPr>
        <w:pStyle w:val="ListParagraph"/>
        <w:numPr>
          <w:ilvl w:val="3"/>
          <w:numId w:val="14"/>
        </w:numPr>
        <w:tabs>
          <w:tab w:val="left" w:pos="1641"/>
        </w:tabs>
        <w:spacing w:before="116"/>
        <w:ind w:left="1640" w:right="1006" w:hanging="360"/>
        <w:jc w:val="both"/>
        <w:rPr>
          <w:sz w:val="20"/>
        </w:rPr>
      </w:pPr>
      <w:r w:rsidRPr="003948BA">
        <w:rPr>
          <w:sz w:val="20"/>
        </w:rPr>
        <w:t>The Distribution Company and / or Management Company will be entitled to verify the particulars given in the Pledge Form. In case of any incorrect information the application may be rejected if the applicant does not rectify the</w:t>
      </w:r>
      <w:r w:rsidRPr="003948BA">
        <w:rPr>
          <w:spacing w:val="-29"/>
          <w:sz w:val="20"/>
        </w:rPr>
        <w:t xml:space="preserve"> </w:t>
      </w:r>
      <w:r w:rsidRPr="003948BA">
        <w:rPr>
          <w:sz w:val="20"/>
        </w:rPr>
        <w:t>discrepancy.</w:t>
      </w:r>
      <w:r w:rsidR="002826E9" w:rsidRPr="003948BA">
        <w:rPr>
          <w:sz w:val="20"/>
        </w:rPr>
        <w:t xml:space="preserve"> </w:t>
      </w:r>
      <w:r w:rsidRPr="003948BA">
        <w:rPr>
          <w:sz w:val="20"/>
        </w:rPr>
        <w:t>Fully completed Pledge of Units Form has to be submitted by both Individuals and/or non- individuals Unit Holders. This Form should be delivered to any of the Authorized Branches of the Distribution Companies or may be submitted to the Management Company directly or through an Investment Facilitator within Business Hours on a Dealing</w:t>
      </w:r>
      <w:r w:rsidRPr="003948BA">
        <w:rPr>
          <w:spacing w:val="-30"/>
          <w:sz w:val="20"/>
        </w:rPr>
        <w:t xml:space="preserve"> </w:t>
      </w:r>
      <w:r w:rsidRPr="003948BA">
        <w:rPr>
          <w:sz w:val="20"/>
        </w:rPr>
        <w:t>Day.</w:t>
      </w:r>
    </w:p>
    <w:p w:rsidR="005E5B48" w:rsidRPr="003948BA" w:rsidRDefault="00814043" w:rsidP="00A002A6">
      <w:pPr>
        <w:pStyle w:val="ListParagraph"/>
        <w:numPr>
          <w:ilvl w:val="3"/>
          <w:numId w:val="14"/>
        </w:numPr>
        <w:tabs>
          <w:tab w:val="left" w:pos="1641"/>
        </w:tabs>
        <w:spacing w:before="115"/>
        <w:ind w:left="1640" w:right="1015" w:hanging="360"/>
        <w:jc w:val="both"/>
        <w:rPr>
          <w:sz w:val="20"/>
        </w:rPr>
      </w:pPr>
      <w:r w:rsidRPr="003948BA">
        <w:rPr>
          <w:sz w:val="20"/>
        </w:rPr>
        <w:t>All risks and rewards, including the right to redeem such Units and operate such account, shall vest with the pledge / lien / charge holder. This will remain the case until such time as the pledge / lien / charge holder in writing to the Management Company instructs otherwise.</w:t>
      </w:r>
    </w:p>
    <w:p w:rsidR="005E5B48" w:rsidRPr="003948BA" w:rsidRDefault="005E5B48">
      <w:pPr>
        <w:pStyle w:val="BodyText"/>
        <w:spacing w:before="11"/>
        <w:rPr>
          <w:sz w:val="29"/>
        </w:rPr>
      </w:pPr>
    </w:p>
    <w:p w:rsidR="005E5B48" w:rsidRPr="003948BA" w:rsidRDefault="00814043" w:rsidP="00A002A6">
      <w:pPr>
        <w:pStyle w:val="Heading5"/>
        <w:numPr>
          <w:ilvl w:val="1"/>
          <w:numId w:val="14"/>
        </w:numPr>
        <w:tabs>
          <w:tab w:val="left" w:pos="1640"/>
          <w:tab w:val="left" w:pos="1641"/>
        </w:tabs>
        <w:ind w:left="1640"/>
        <w:jc w:val="left"/>
      </w:pPr>
      <w:bookmarkStart w:id="60" w:name="_bookmark50"/>
      <w:bookmarkEnd w:id="60"/>
      <w:r w:rsidRPr="003948BA">
        <w:t>Temporary Change in Method of Dealing, Suspension of Dealing and Queue</w:t>
      </w:r>
      <w:r w:rsidRPr="003948BA">
        <w:rPr>
          <w:spacing w:val="-21"/>
        </w:rPr>
        <w:t xml:space="preserve"> </w:t>
      </w:r>
      <w:r w:rsidRPr="003948BA">
        <w:t>System</w:t>
      </w:r>
    </w:p>
    <w:p w:rsidR="005E5B48" w:rsidRPr="003948BA" w:rsidRDefault="005E5B48">
      <w:pPr>
        <w:pStyle w:val="BodyText"/>
        <w:spacing w:before="8"/>
        <w:rPr>
          <w:b/>
        </w:rPr>
      </w:pPr>
    </w:p>
    <w:p w:rsidR="005E5B48" w:rsidRPr="003948BA" w:rsidRDefault="00814043" w:rsidP="00A002A6">
      <w:pPr>
        <w:pStyle w:val="ListParagraph"/>
        <w:numPr>
          <w:ilvl w:val="2"/>
          <w:numId w:val="14"/>
        </w:numPr>
        <w:tabs>
          <w:tab w:val="left" w:pos="1641"/>
        </w:tabs>
        <w:rPr>
          <w:b/>
          <w:sz w:val="20"/>
        </w:rPr>
      </w:pPr>
      <w:r w:rsidRPr="003948BA">
        <w:rPr>
          <w:b/>
          <w:sz w:val="20"/>
        </w:rPr>
        <w:t>Temporary Change in the Method of</w:t>
      </w:r>
      <w:r w:rsidRPr="003948BA">
        <w:rPr>
          <w:b/>
          <w:spacing w:val="-8"/>
          <w:sz w:val="20"/>
        </w:rPr>
        <w:t xml:space="preserve"> </w:t>
      </w:r>
      <w:r w:rsidRPr="003948BA">
        <w:rPr>
          <w:b/>
          <w:sz w:val="20"/>
        </w:rPr>
        <w:t>Dealing</w:t>
      </w:r>
    </w:p>
    <w:p w:rsidR="005E5B48" w:rsidRPr="003948BA" w:rsidRDefault="005E5B48">
      <w:pPr>
        <w:pStyle w:val="BodyText"/>
        <w:spacing w:before="7"/>
        <w:rPr>
          <w:b/>
          <w:sz w:val="27"/>
        </w:rPr>
      </w:pPr>
    </w:p>
    <w:p w:rsidR="005E5B48" w:rsidRPr="003948BA" w:rsidRDefault="00814043" w:rsidP="00240656">
      <w:pPr>
        <w:pStyle w:val="BodyText"/>
        <w:ind w:left="1640" w:right="1057"/>
        <w:jc w:val="both"/>
        <w:rPr>
          <w:sz w:val="22"/>
        </w:rPr>
      </w:pPr>
      <w:r w:rsidRPr="003948BA">
        <w:t>Under the circumstances mentioned in Clause 4.10.2 &amp; 4.10.3, Subject to compliance with Regulation (having regard to the interests of Unit Holders), the Management Company</w:t>
      </w:r>
      <w:r w:rsidR="00240656">
        <w:t xml:space="preserve"> </w:t>
      </w:r>
      <w:r w:rsidRPr="003948BA">
        <w:t xml:space="preserve">may request the Trustee to approve a temporary change in the method of dealing in Units. A permanent change in the method of dealing shall be made after expiry of at least one </w:t>
      </w:r>
      <w:r w:rsidR="00207F45" w:rsidRPr="003948BA">
        <w:t>month’s</w:t>
      </w:r>
      <w:r w:rsidRPr="003948BA">
        <w:t xml:space="preserve"> notice to Unit Holders and with the approval of Trustee.</w:t>
      </w:r>
    </w:p>
    <w:p w:rsidR="005E5B48" w:rsidRPr="003948BA" w:rsidRDefault="005E5B48">
      <w:pPr>
        <w:pStyle w:val="BodyText"/>
        <w:spacing w:before="3"/>
        <w:rPr>
          <w:sz w:val="18"/>
        </w:rPr>
      </w:pPr>
    </w:p>
    <w:p w:rsidR="005E5B48" w:rsidRPr="003948BA" w:rsidRDefault="00814043" w:rsidP="00A002A6">
      <w:pPr>
        <w:pStyle w:val="Heading5"/>
        <w:numPr>
          <w:ilvl w:val="2"/>
          <w:numId w:val="14"/>
        </w:numPr>
        <w:tabs>
          <w:tab w:val="left" w:pos="1641"/>
        </w:tabs>
      </w:pPr>
      <w:r w:rsidRPr="003948BA">
        <w:t>Suspension of Fresh Issue of</w:t>
      </w:r>
      <w:r w:rsidRPr="003948BA">
        <w:rPr>
          <w:spacing w:val="-6"/>
        </w:rPr>
        <w:t xml:space="preserve"> </w:t>
      </w:r>
      <w:r w:rsidRPr="003948BA">
        <w:t>Units</w:t>
      </w:r>
    </w:p>
    <w:p w:rsidR="005E5B48" w:rsidRPr="003948BA" w:rsidRDefault="00814043">
      <w:pPr>
        <w:pStyle w:val="BodyText"/>
        <w:spacing w:before="68"/>
        <w:ind w:left="1640" w:right="1021"/>
        <w:jc w:val="both"/>
      </w:pPr>
      <w:r w:rsidRPr="003948BA">
        <w:rPr>
          <w:color w:val="211F1F"/>
        </w:rPr>
        <w:t>The Management Company may, under the following circumstances, suspend issue of fresh Units.</w:t>
      </w:r>
    </w:p>
    <w:p w:rsidR="005E5B48" w:rsidRPr="003948BA" w:rsidRDefault="005E5B48">
      <w:pPr>
        <w:pStyle w:val="BodyText"/>
        <w:spacing w:before="6"/>
        <w:rPr>
          <w:sz w:val="19"/>
        </w:rPr>
      </w:pPr>
    </w:p>
    <w:p w:rsidR="005E5B48" w:rsidRPr="003948BA" w:rsidRDefault="00814043" w:rsidP="00A002A6">
      <w:pPr>
        <w:pStyle w:val="ListParagraph"/>
        <w:numPr>
          <w:ilvl w:val="0"/>
          <w:numId w:val="11"/>
        </w:numPr>
        <w:tabs>
          <w:tab w:val="left" w:pos="2360"/>
          <w:tab w:val="left" w:pos="2361"/>
        </w:tabs>
        <w:rPr>
          <w:sz w:val="20"/>
        </w:rPr>
      </w:pPr>
      <w:r w:rsidRPr="003948BA">
        <w:rPr>
          <w:color w:val="211F1F"/>
          <w:sz w:val="20"/>
        </w:rPr>
        <w:t>The situation of Force Majeure as defined in this Offering</w:t>
      </w:r>
      <w:r w:rsidRPr="003948BA">
        <w:rPr>
          <w:color w:val="211F1F"/>
          <w:spacing w:val="-16"/>
          <w:sz w:val="20"/>
        </w:rPr>
        <w:t xml:space="preserve"> </w:t>
      </w:r>
      <w:r w:rsidRPr="003948BA">
        <w:rPr>
          <w:color w:val="211F1F"/>
          <w:sz w:val="20"/>
        </w:rPr>
        <w:t>Document;</w:t>
      </w:r>
    </w:p>
    <w:p w:rsidR="005E5B48" w:rsidRPr="003948BA" w:rsidRDefault="00814043" w:rsidP="00A002A6">
      <w:pPr>
        <w:pStyle w:val="ListParagraph"/>
        <w:numPr>
          <w:ilvl w:val="0"/>
          <w:numId w:val="11"/>
        </w:numPr>
        <w:tabs>
          <w:tab w:val="left" w:pos="2360"/>
          <w:tab w:val="left" w:pos="2361"/>
        </w:tabs>
        <w:spacing w:before="9" w:line="235" w:lineRule="auto"/>
        <w:ind w:right="1775"/>
        <w:rPr>
          <w:sz w:val="20"/>
        </w:rPr>
      </w:pPr>
      <w:r w:rsidRPr="003948BA">
        <w:rPr>
          <w:color w:val="211F1F"/>
          <w:sz w:val="20"/>
        </w:rPr>
        <w:t>A situation in which it is not possible to invest the amount received against issuance of fresh Units</w:t>
      </w:r>
      <w:r w:rsidRPr="003948BA">
        <w:rPr>
          <w:color w:val="211F1F"/>
          <w:spacing w:val="47"/>
          <w:sz w:val="20"/>
        </w:rPr>
        <w:t xml:space="preserve"> </w:t>
      </w:r>
      <w:r w:rsidRPr="003948BA">
        <w:rPr>
          <w:color w:val="211F1F"/>
          <w:sz w:val="20"/>
        </w:rPr>
        <w:t>or</w:t>
      </w:r>
    </w:p>
    <w:p w:rsidR="005E5B48" w:rsidRPr="003948BA" w:rsidRDefault="00814043" w:rsidP="00A002A6">
      <w:pPr>
        <w:pStyle w:val="ListParagraph"/>
        <w:numPr>
          <w:ilvl w:val="0"/>
          <w:numId w:val="11"/>
        </w:numPr>
        <w:tabs>
          <w:tab w:val="left" w:pos="2360"/>
          <w:tab w:val="left" w:pos="2361"/>
        </w:tabs>
        <w:spacing w:before="5" w:line="237" w:lineRule="auto"/>
        <w:ind w:right="1071"/>
        <w:rPr>
          <w:sz w:val="20"/>
        </w:rPr>
      </w:pPr>
      <w:r w:rsidRPr="003948BA">
        <w:rPr>
          <w:color w:val="211F1F"/>
          <w:sz w:val="20"/>
        </w:rPr>
        <w:t>Any</w:t>
      </w:r>
      <w:r w:rsidRPr="003948BA">
        <w:rPr>
          <w:color w:val="211F1F"/>
          <w:spacing w:val="-9"/>
          <w:sz w:val="20"/>
        </w:rPr>
        <w:t xml:space="preserve"> </w:t>
      </w:r>
      <w:r w:rsidRPr="003948BA">
        <w:rPr>
          <w:color w:val="211F1F"/>
          <w:sz w:val="20"/>
        </w:rPr>
        <w:t>other</w:t>
      </w:r>
      <w:r w:rsidRPr="003948BA">
        <w:rPr>
          <w:color w:val="211F1F"/>
          <w:spacing w:val="-5"/>
          <w:sz w:val="20"/>
        </w:rPr>
        <w:t xml:space="preserve"> </w:t>
      </w:r>
      <w:r w:rsidRPr="003948BA">
        <w:rPr>
          <w:color w:val="211F1F"/>
          <w:sz w:val="20"/>
        </w:rPr>
        <w:t>situation</w:t>
      </w:r>
      <w:r w:rsidRPr="003948BA">
        <w:rPr>
          <w:color w:val="211F1F"/>
          <w:spacing w:val="-4"/>
          <w:sz w:val="20"/>
        </w:rPr>
        <w:t xml:space="preserve"> </w:t>
      </w:r>
      <w:r w:rsidRPr="003948BA">
        <w:rPr>
          <w:color w:val="211F1F"/>
          <w:sz w:val="20"/>
        </w:rPr>
        <w:t>in</w:t>
      </w:r>
      <w:r w:rsidRPr="003948BA">
        <w:rPr>
          <w:color w:val="211F1F"/>
          <w:spacing w:val="-4"/>
          <w:sz w:val="20"/>
        </w:rPr>
        <w:t xml:space="preserve"> </w:t>
      </w:r>
      <w:r w:rsidRPr="003948BA">
        <w:rPr>
          <w:color w:val="211F1F"/>
          <w:sz w:val="20"/>
        </w:rPr>
        <w:t>which</w:t>
      </w:r>
      <w:r w:rsidRPr="003948BA">
        <w:rPr>
          <w:color w:val="211F1F"/>
          <w:spacing w:val="-4"/>
          <w:sz w:val="20"/>
        </w:rPr>
        <w:t xml:space="preserve"> </w:t>
      </w:r>
      <w:r w:rsidRPr="003948BA">
        <w:rPr>
          <w:color w:val="211F1F"/>
          <w:sz w:val="20"/>
        </w:rPr>
        <w:t>issuance</w:t>
      </w:r>
      <w:r w:rsidRPr="003948BA">
        <w:rPr>
          <w:color w:val="211F1F"/>
          <w:spacing w:val="-4"/>
          <w:sz w:val="20"/>
        </w:rPr>
        <w:t xml:space="preserve"> </w:t>
      </w:r>
      <w:r w:rsidRPr="003948BA">
        <w:rPr>
          <w:color w:val="211F1F"/>
          <w:sz w:val="20"/>
        </w:rPr>
        <w:t>of</w:t>
      </w:r>
      <w:r w:rsidRPr="003948BA">
        <w:rPr>
          <w:color w:val="211F1F"/>
          <w:spacing w:val="-4"/>
          <w:sz w:val="20"/>
        </w:rPr>
        <w:t xml:space="preserve"> </w:t>
      </w:r>
      <w:r w:rsidRPr="003948BA">
        <w:rPr>
          <w:color w:val="211F1F"/>
          <w:sz w:val="20"/>
        </w:rPr>
        <w:t>fresh</w:t>
      </w:r>
      <w:r w:rsidRPr="003948BA">
        <w:rPr>
          <w:color w:val="211F1F"/>
          <w:spacing w:val="-6"/>
          <w:sz w:val="20"/>
        </w:rPr>
        <w:t xml:space="preserve"> </w:t>
      </w:r>
      <w:r w:rsidRPr="003948BA">
        <w:rPr>
          <w:color w:val="211F1F"/>
          <w:sz w:val="20"/>
        </w:rPr>
        <w:t>Units</w:t>
      </w:r>
      <w:r w:rsidRPr="003948BA">
        <w:rPr>
          <w:color w:val="211F1F"/>
          <w:spacing w:val="-5"/>
          <w:sz w:val="20"/>
        </w:rPr>
        <w:t xml:space="preserve"> </w:t>
      </w:r>
      <w:r w:rsidRPr="003948BA">
        <w:rPr>
          <w:color w:val="211F1F"/>
          <w:sz w:val="20"/>
        </w:rPr>
        <w:t>is,</w:t>
      </w:r>
      <w:r w:rsidRPr="003948BA">
        <w:rPr>
          <w:color w:val="211F1F"/>
          <w:spacing w:val="-6"/>
          <w:sz w:val="20"/>
        </w:rPr>
        <w:t xml:space="preserve"> </w:t>
      </w:r>
      <w:r w:rsidRPr="003948BA">
        <w:rPr>
          <w:color w:val="211F1F"/>
          <w:sz w:val="20"/>
        </w:rPr>
        <w:t>in</w:t>
      </w:r>
      <w:r w:rsidRPr="003948BA">
        <w:rPr>
          <w:color w:val="211F1F"/>
          <w:spacing w:val="-6"/>
          <w:sz w:val="20"/>
        </w:rPr>
        <w:t xml:space="preserve"> </w:t>
      </w:r>
      <w:r w:rsidRPr="003948BA">
        <w:rPr>
          <w:color w:val="211F1F"/>
          <w:sz w:val="20"/>
        </w:rPr>
        <w:t xml:space="preserve">Management </w:t>
      </w:r>
      <w:r w:rsidR="00207F45" w:rsidRPr="003948BA">
        <w:rPr>
          <w:color w:val="211F1F"/>
          <w:sz w:val="20"/>
        </w:rPr>
        <w:t>Company’s</w:t>
      </w:r>
      <w:r w:rsidRPr="003948BA">
        <w:rPr>
          <w:color w:val="211F1F"/>
          <w:sz w:val="20"/>
        </w:rPr>
        <w:t xml:space="preserve"> opinion, against the interests of the existing/remaining Unit</w:t>
      </w:r>
      <w:r w:rsidRPr="003948BA">
        <w:rPr>
          <w:color w:val="211F1F"/>
          <w:spacing w:val="-24"/>
          <w:sz w:val="20"/>
        </w:rPr>
        <w:t xml:space="preserve"> </w:t>
      </w:r>
      <w:r w:rsidRPr="003948BA">
        <w:rPr>
          <w:color w:val="211F1F"/>
          <w:sz w:val="20"/>
        </w:rPr>
        <w:t>Holders.</w:t>
      </w:r>
    </w:p>
    <w:p w:rsidR="005E5B48" w:rsidRPr="003948BA" w:rsidRDefault="005E5B48">
      <w:pPr>
        <w:pStyle w:val="BodyText"/>
      </w:pPr>
    </w:p>
    <w:p w:rsidR="005E5B48" w:rsidRPr="003948BA" w:rsidRDefault="00814043">
      <w:pPr>
        <w:pStyle w:val="BodyText"/>
        <w:spacing w:before="1"/>
        <w:ind w:left="1640" w:right="1005"/>
        <w:jc w:val="both"/>
      </w:pPr>
      <w:r w:rsidRPr="003948BA">
        <w:rPr>
          <w:color w:val="211F1F"/>
        </w:rPr>
        <w:t>Such suspension may however not affect existing Unit Holders of Allocation Plan(s) for the issuance of Class “C” and Class “D” Units of the pertinent Allocation Plan(s) as a result of Bonus / Stock Dividend or Cash Dividend distribution The Management Company shall announce the details of circumstances at the time a suspension of fresh issue is announced. The Management Company shall immediately notify SECP and Trustee if issuance of Units of an Allocation Plan is suspended and shall also have the fact published, immediately following such decision, in the newspapers in which the Allocation Plans‟ prices are normally</w:t>
      </w:r>
      <w:r w:rsidRPr="003948BA">
        <w:rPr>
          <w:color w:val="211F1F"/>
          <w:spacing w:val="-17"/>
        </w:rPr>
        <w:t xml:space="preserve"> </w:t>
      </w:r>
      <w:r w:rsidRPr="003948BA">
        <w:rPr>
          <w:color w:val="211F1F"/>
        </w:rPr>
        <w:t>published.</w:t>
      </w:r>
    </w:p>
    <w:p w:rsidR="005E5B48" w:rsidRPr="003948BA" w:rsidRDefault="005E5B48">
      <w:pPr>
        <w:pStyle w:val="BodyText"/>
        <w:spacing w:before="1"/>
      </w:pPr>
    </w:p>
    <w:p w:rsidR="005E5B48" w:rsidRPr="003948BA" w:rsidRDefault="00814043">
      <w:pPr>
        <w:pStyle w:val="BodyText"/>
        <w:ind w:left="1640" w:right="1010"/>
        <w:jc w:val="both"/>
      </w:pPr>
      <w:r w:rsidRPr="003948BA">
        <w:rPr>
          <w:color w:val="211F1F"/>
        </w:rPr>
        <w:t>In case of suspension of redemption of Units of Allocation Plan(s) due to extraordinary circumstances the issuance of Units of the pertinent Allocation Plan(s) shall also be kept suspended until and unless redemption of Units is resumed.</w:t>
      </w:r>
    </w:p>
    <w:p w:rsidR="005E5B48" w:rsidRPr="003948BA" w:rsidRDefault="005E5B48">
      <w:pPr>
        <w:pStyle w:val="BodyText"/>
      </w:pPr>
    </w:p>
    <w:p w:rsidR="005E5B48" w:rsidRPr="003948BA" w:rsidRDefault="00814043">
      <w:pPr>
        <w:pStyle w:val="BodyText"/>
        <w:spacing w:line="314" w:lineRule="auto"/>
        <w:ind w:left="1640" w:right="1635"/>
      </w:pPr>
      <w:r w:rsidRPr="003948BA">
        <w:rPr>
          <w:color w:val="211F1F"/>
        </w:rPr>
        <w:t>In case of suspension of issuance / redemption of Units of an Allocation Plan(s), the issuance / redemption of other Allocation Plan(s) may continue unaffected.</w:t>
      </w:r>
    </w:p>
    <w:p w:rsidR="005E5B48" w:rsidRPr="003948BA" w:rsidRDefault="00814043">
      <w:pPr>
        <w:pStyle w:val="BodyText"/>
        <w:spacing w:before="161"/>
        <w:ind w:left="1640" w:right="1029"/>
        <w:jc w:val="both"/>
      </w:pPr>
      <w:r w:rsidRPr="003948BA">
        <w:lastRenderedPageBreak/>
        <w:t>Investment application form received on the day of suspension will not be processed and the amount received shall be returned to the investor.</w:t>
      </w:r>
    </w:p>
    <w:p w:rsidR="005E5B48" w:rsidRPr="003948BA" w:rsidRDefault="005E5B48">
      <w:pPr>
        <w:pStyle w:val="BodyText"/>
        <w:rPr>
          <w:sz w:val="22"/>
        </w:rPr>
      </w:pPr>
    </w:p>
    <w:p w:rsidR="005E5B48" w:rsidRPr="003948BA" w:rsidRDefault="00814043" w:rsidP="00A002A6">
      <w:pPr>
        <w:pStyle w:val="Heading5"/>
        <w:numPr>
          <w:ilvl w:val="2"/>
          <w:numId w:val="14"/>
        </w:numPr>
        <w:tabs>
          <w:tab w:val="left" w:pos="1641"/>
        </w:tabs>
        <w:spacing w:before="1"/>
      </w:pPr>
      <w:r w:rsidRPr="003948BA">
        <w:t>Suspension of Redemption of</w:t>
      </w:r>
      <w:r w:rsidRPr="003948BA">
        <w:rPr>
          <w:spacing w:val="-3"/>
        </w:rPr>
        <w:t xml:space="preserve"> </w:t>
      </w:r>
      <w:r w:rsidRPr="003948BA">
        <w:t>Units</w:t>
      </w:r>
    </w:p>
    <w:p w:rsidR="005E5B48" w:rsidRPr="003948BA" w:rsidRDefault="00814043">
      <w:pPr>
        <w:pStyle w:val="BodyText"/>
        <w:spacing w:before="65"/>
        <w:ind w:left="1640" w:right="1023"/>
        <w:jc w:val="both"/>
      </w:pPr>
      <w:r w:rsidRPr="003948BA">
        <w:t>The Redemption of Units may be suspended during extraordinary circumstances/ Force Majeure.</w:t>
      </w:r>
    </w:p>
    <w:p w:rsidR="005E5B48" w:rsidRPr="003948BA" w:rsidRDefault="005E5B48">
      <w:pPr>
        <w:pStyle w:val="BodyText"/>
        <w:spacing w:before="10"/>
        <w:rPr>
          <w:sz w:val="19"/>
        </w:rPr>
      </w:pPr>
    </w:p>
    <w:p w:rsidR="005E5B48" w:rsidRPr="003948BA" w:rsidRDefault="00814043">
      <w:pPr>
        <w:pStyle w:val="BodyText"/>
        <w:spacing w:before="1"/>
        <w:ind w:left="1640"/>
      </w:pPr>
      <w:r w:rsidRPr="003948BA">
        <w:t>Redemption requests received on the day of the suspension shall be rejected.</w:t>
      </w:r>
    </w:p>
    <w:p w:rsidR="005E5B48" w:rsidRPr="003948BA" w:rsidRDefault="005E5B48">
      <w:pPr>
        <w:pStyle w:val="BodyText"/>
        <w:rPr>
          <w:sz w:val="22"/>
        </w:rPr>
      </w:pPr>
    </w:p>
    <w:p w:rsidR="005E5B48" w:rsidRPr="003948BA" w:rsidRDefault="005E5B48">
      <w:pPr>
        <w:pStyle w:val="BodyText"/>
        <w:spacing w:before="2"/>
      </w:pPr>
    </w:p>
    <w:p w:rsidR="005E5B48" w:rsidRPr="003948BA" w:rsidRDefault="00814043" w:rsidP="00A002A6">
      <w:pPr>
        <w:pStyle w:val="Heading5"/>
        <w:numPr>
          <w:ilvl w:val="2"/>
          <w:numId w:val="14"/>
        </w:numPr>
        <w:tabs>
          <w:tab w:val="left" w:pos="1641"/>
        </w:tabs>
      </w:pPr>
      <w:r w:rsidRPr="003948BA">
        <w:t>Queue</w:t>
      </w:r>
      <w:r w:rsidRPr="003948BA">
        <w:rPr>
          <w:spacing w:val="-9"/>
        </w:rPr>
        <w:t xml:space="preserve"> </w:t>
      </w:r>
      <w:r w:rsidRPr="003948BA">
        <w:t>System</w:t>
      </w:r>
    </w:p>
    <w:p w:rsidR="005E5B48" w:rsidRPr="003948BA" w:rsidRDefault="00814043" w:rsidP="002826E9">
      <w:pPr>
        <w:pStyle w:val="BodyText"/>
        <w:spacing w:before="68"/>
        <w:ind w:left="1640" w:right="1011"/>
        <w:jc w:val="both"/>
      </w:pPr>
      <w:r w:rsidRPr="003948BA">
        <w:t>In the event redemption requests on any day exceed ten percent (10%) of the outstanding Units of an Allocation Plan, the Management Company may invoke a Queue System whereby requests for redemption shall be processed on a first come first served basis for</w:t>
      </w:r>
      <w:r w:rsidR="002826E9" w:rsidRPr="003948BA">
        <w:t xml:space="preserve"> </w:t>
      </w:r>
      <w:r w:rsidRPr="003948BA">
        <w:t xml:space="preserve">up to ten percent (10%) of the outstanding Units of Allocation Plan. The Management Company shall proceed to sell adequate assets of the pertinent Allocation Plan and / or arrange </w:t>
      </w:r>
      <w:r w:rsidRPr="003948BA">
        <w:rPr>
          <w:color w:val="221F1F"/>
          <w:sz w:val="22"/>
        </w:rPr>
        <w:t xml:space="preserve">Shariah compliant financing </w:t>
      </w:r>
      <w:r w:rsidRPr="003948BA">
        <w:t xml:space="preserve">as it deems fit in the best interest of all Unit Holders of the pertinent Allocation Plan and shall determine the redemption price to be applied to the redemption requests based on such action. Where it is not practical to determine the chronological ranking of any requests in comparison to others received on the same Dealing Day, </w:t>
      </w:r>
      <w:r w:rsidRPr="003948BA">
        <w:rPr>
          <w:spacing w:val="1"/>
        </w:rPr>
        <w:t xml:space="preserve">such </w:t>
      </w:r>
      <w:r w:rsidRPr="003948BA">
        <w:t>requests shall be processed on basis proportionate to the size of the requests. The Management Company shall provide all redemption requests duly timed and date stamped to the Trustee within 24 hours of receipt of any such request following the queue system. The requests in excess of ten percent (10%) shall be treated as redemption requests qualifying for being processed on the next Dealing Day at the price to be determined for such redemption requests. However, if the carried over requests and the fresh requests received on the next Dealing Day still exceed ten percent (10%) of the outstanding Units of Allocation Plan, these shall once again be treated on first come first served basis and the process for generating liquidity and determining the redemption price shall be repeated and such procedure shall continue till such time the outstanding redemption requests come down to a level below ten percent (10%) of the outstanding Units of the Allocation Plan.</w:t>
      </w:r>
    </w:p>
    <w:p w:rsidR="005E5B48" w:rsidRPr="003948BA" w:rsidRDefault="005E5B48">
      <w:pPr>
        <w:pStyle w:val="BodyText"/>
        <w:rPr>
          <w:sz w:val="22"/>
        </w:rPr>
      </w:pPr>
    </w:p>
    <w:p w:rsidR="005E5B48" w:rsidRPr="003948BA" w:rsidRDefault="00814043" w:rsidP="00A002A6">
      <w:pPr>
        <w:pStyle w:val="Heading5"/>
        <w:numPr>
          <w:ilvl w:val="2"/>
          <w:numId w:val="14"/>
        </w:numPr>
        <w:tabs>
          <w:tab w:val="left" w:pos="1641"/>
        </w:tabs>
        <w:spacing w:before="1"/>
      </w:pPr>
      <w:r w:rsidRPr="003948BA">
        <w:t>Winding up in view of Major</w:t>
      </w:r>
      <w:r w:rsidRPr="003948BA">
        <w:rPr>
          <w:spacing w:val="-16"/>
        </w:rPr>
        <w:t xml:space="preserve"> </w:t>
      </w:r>
      <w:r w:rsidRPr="003948BA">
        <w:t>Redemptions</w:t>
      </w:r>
    </w:p>
    <w:p w:rsidR="005E5B48" w:rsidRPr="003948BA" w:rsidRDefault="00814043">
      <w:pPr>
        <w:pStyle w:val="BodyText"/>
        <w:spacing w:before="65"/>
        <w:ind w:left="1640" w:right="1011"/>
        <w:jc w:val="both"/>
      </w:pPr>
      <w:r w:rsidRPr="003948BA">
        <w:t xml:space="preserve">In the event the Management Company is of the view that the quantum of redemption requests that have built up are likely to result in the Fund being run down to an unsustainable level or it is of the view that the selloff of assets is likely to result in a significant loss in value for the Unit Holders who are not redeeming, it may announce winding up of the Fund. In such an event, the Queue System, if already invoked, shall cease to apply and all Unit Holders shall be paid after selling the assets under their respective Allocation Plans and determining the final Redemption Price for the Allocation Plans being offered under this Scheme. However, interim distributions of the </w:t>
      </w:r>
      <w:r w:rsidR="00013225" w:rsidRPr="003948BA">
        <w:t>proceeds may</w:t>
      </w:r>
      <w:r w:rsidRPr="003948BA">
        <w:t xml:space="preserve"> be made if the Management Company finds it feasible. In case of shortfall, </w:t>
      </w:r>
      <w:r w:rsidR="00013225" w:rsidRPr="003948BA">
        <w:t>neither the</w:t>
      </w:r>
      <w:r w:rsidRPr="003948BA">
        <w:t xml:space="preserve"> Trustee nor the Management Company shall be liable to pay the</w:t>
      </w:r>
      <w:r w:rsidRPr="003948BA">
        <w:rPr>
          <w:spacing w:val="-28"/>
        </w:rPr>
        <w:t xml:space="preserve"> </w:t>
      </w:r>
      <w:r w:rsidRPr="003948BA">
        <w:t>same.</w:t>
      </w:r>
    </w:p>
    <w:p w:rsidR="005E5B48" w:rsidRPr="003948BA" w:rsidRDefault="005E5B48">
      <w:pPr>
        <w:pStyle w:val="BodyText"/>
        <w:rPr>
          <w:sz w:val="22"/>
        </w:rPr>
      </w:pPr>
    </w:p>
    <w:p w:rsidR="005E5B48" w:rsidRPr="003948BA" w:rsidRDefault="00814043" w:rsidP="00A002A6">
      <w:pPr>
        <w:pStyle w:val="Heading5"/>
        <w:numPr>
          <w:ilvl w:val="0"/>
          <w:numId w:val="39"/>
        </w:numPr>
        <w:tabs>
          <w:tab w:val="left" w:pos="1352"/>
          <w:tab w:val="left" w:pos="1353"/>
        </w:tabs>
        <w:ind w:left="1352"/>
        <w:jc w:val="left"/>
      </w:pPr>
      <w:bookmarkStart w:id="61" w:name="_bookmark51"/>
      <w:bookmarkEnd w:id="61"/>
      <w:r w:rsidRPr="003948BA">
        <w:t>DISTRIBUTION</w:t>
      </w:r>
      <w:r w:rsidRPr="003948BA">
        <w:rPr>
          <w:spacing w:val="-8"/>
        </w:rPr>
        <w:t xml:space="preserve"> </w:t>
      </w:r>
      <w:r w:rsidRPr="003948BA">
        <w:t>POLICY</w:t>
      </w:r>
    </w:p>
    <w:p w:rsidR="005E5B48" w:rsidRPr="003948BA" w:rsidRDefault="005E5B48">
      <w:pPr>
        <w:pStyle w:val="BodyText"/>
        <w:rPr>
          <w:b/>
          <w:sz w:val="22"/>
        </w:rPr>
      </w:pPr>
    </w:p>
    <w:p w:rsidR="005E5B48" w:rsidRPr="003948BA" w:rsidRDefault="00814043" w:rsidP="00A002A6">
      <w:pPr>
        <w:pStyle w:val="Heading5"/>
        <w:numPr>
          <w:ilvl w:val="1"/>
          <w:numId w:val="39"/>
        </w:numPr>
        <w:tabs>
          <w:tab w:val="left" w:pos="1640"/>
          <w:tab w:val="left" w:pos="1641"/>
        </w:tabs>
        <w:spacing w:before="158"/>
      </w:pPr>
      <w:bookmarkStart w:id="62" w:name="_bookmark52"/>
      <w:bookmarkEnd w:id="62"/>
      <w:r w:rsidRPr="003948BA">
        <w:t>Declaration of</w:t>
      </w:r>
      <w:r w:rsidRPr="003948BA">
        <w:rPr>
          <w:spacing w:val="-7"/>
        </w:rPr>
        <w:t xml:space="preserve"> </w:t>
      </w:r>
      <w:r w:rsidRPr="003948BA">
        <w:t>Dividend</w:t>
      </w:r>
    </w:p>
    <w:p w:rsidR="005E5B48" w:rsidRPr="003948BA" w:rsidRDefault="005E5B48">
      <w:pPr>
        <w:pStyle w:val="BodyText"/>
        <w:spacing w:before="4"/>
        <w:rPr>
          <w:b/>
          <w:sz w:val="28"/>
        </w:rPr>
      </w:pPr>
    </w:p>
    <w:p w:rsidR="005E5B48" w:rsidRPr="003948BA" w:rsidRDefault="00814043" w:rsidP="00A002A6">
      <w:pPr>
        <w:pStyle w:val="ListParagraph"/>
        <w:numPr>
          <w:ilvl w:val="0"/>
          <w:numId w:val="10"/>
        </w:numPr>
        <w:tabs>
          <w:tab w:val="left" w:pos="2361"/>
        </w:tabs>
        <w:ind w:right="1011"/>
        <w:jc w:val="both"/>
        <w:rPr>
          <w:sz w:val="20"/>
        </w:rPr>
      </w:pPr>
      <w:r w:rsidRPr="003948BA">
        <w:rPr>
          <w:sz w:val="20"/>
        </w:rPr>
        <w:t>The Management Company shall decide as soon as possible but not later than forty-five days after the Accounting Date / interim period whether to distribute among Unit Holders, profits, either in form of bonus Units (stock dividend) or cash dividend, if any, available for the distribution at the end of the Accounting</w:t>
      </w:r>
      <w:r w:rsidRPr="003948BA">
        <w:rPr>
          <w:spacing w:val="26"/>
          <w:sz w:val="20"/>
        </w:rPr>
        <w:t xml:space="preserve"> </w:t>
      </w:r>
      <w:r w:rsidRPr="003948BA">
        <w:rPr>
          <w:sz w:val="20"/>
        </w:rPr>
        <w:t>Period</w:t>
      </w:r>
    </w:p>
    <w:p w:rsidR="005E5B48" w:rsidRPr="003948BA" w:rsidRDefault="00814043">
      <w:pPr>
        <w:pStyle w:val="BodyText"/>
        <w:spacing w:before="75"/>
        <w:ind w:left="2360" w:right="1013"/>
        <w:jc w:val="both"/>
      </w:pPr>
      <w:r w:rsidRPr="003948BA">
        <w:t>and shall advise the Trustee of the amount of such distribution per Unit. The Fund will comply with regulatory and taxation requirements and the distribution policy may be amended accordingly.</w:t>
      </w:r>
    </w:p>
    <w:p w:rsidR="005E5B48" w:rsidRPr="003948BA" w:rsidRDefault="005E5B48">
      <w:pPr>
        <w:pStyle w:val="BodyText"/>
        <w:spacing w:before="10"/>
        <w:rPr>
          <w:sz w:val="19"/>
        </w:rPr>
      </w:pPr>
    </w:p>
    <w:p w:rsidR="005E5B48" w:rsidRPr="003948BA" w:rsidRDefault="00814043" w:rsidP="00A002A6">
      <w:pPr>
        <w:pStyle w:val="ListParagraph"/>
        <w:numPr>
          <w:ilvl w:val="0"/>
          <w:numId w:val="10"/>
        </w:numPr>
        <w:tabs>
          <w:tab w:val="left" w:pos="2361"/>
        </w:tabs>
        <w:spacing w:before="1"/>
        <w:ind w:right="1011"/>
        <w:jc w:val="both"/>
        <w:rPr>
          <w:sz w:val="20"/>
        </w:rPr>
      </w:pPr>
      <w:r w:rsidRPr="003948BA">
        <w:rPr>
          <w:sz w:val="20"/>
        </w:rPr>
        <w:t xml:space="preserve">The Management Company on behalf of the Fund shall, for every accounting year, distribute by way of dividend to the Unit Holders, not less than ninety per cent of the accounting income of the Collective Investment Scheme received or derived </w:t>
      </w:r>
      <w:r w:rsidRPr="003948BA">
        <w:rPr>
          <w:sz w:val="20"/>
        </w:rPr>
        <w:lastRenderedPageBreak/>
        <w:t>from sources other than capital gains as reduced by such expenses as are chargeable to a Collective Investment Scheme under the</w:t>
      </w:r>
      <w:r w:rsidRPr="003948BA">
        <w:rPr>
          <w:spacing w:val="-28"/>
          <w:sz w:val="20"/>
        </w:rPr>
        <w:t xml:space="preserve"> </w:t>
      </w:r>
      <w:r w:rsidRPr="003948BA">
        <w:rPr>
          <w:sz w:val="20"/>
        </w:rPr>
        <w:t>Regulations.</w:t>
      </w:r>
    </w:p>
    <w:p w:rsidR="005E5B48" w:rsidRPr="003948BA" w:rsidRDefault="005E5B48">
      <w:pPr>
        <w:pStyle w:val="BodyText"/>
        <w:spacing w:before="11"/>
        <w:rPr>
          <w:sz w:val="19"/>
        </w:rPr>
      </w:pPr>
    </w:p>
    <w:p w:rsidR="005E5B48" w:rsidRPr="003948BA" w:rsidRDefault="00814043">
      <w:pPr>
        <w:pStyle w:val="BodyText"/>
        <w:ind w:left="2360" w:right="1022"/>
        <w:jc w:val="both"/>
      </w:pPr>
      <w:r w:rsidRPr="003948BA">
        <w:t>This will be done through distribution by way of dividends, for every accounting year, to the Unit Holders of each Allocation Plan, not less than ninety percent of the accounting income for the pertinent Allocation Plan, received or derived from sources other than capital gains as reduced by such expenses pertaining to that Allocation</w:t>
      </w:r>
      <w:r w:rsidRPr="003948BA">
        <w:rPr>
          <w:spacing w:val="-10"/>
        </w:rPr>
        <w:t xml:space="preserve"> </w:t>
      </w:r>
      <w:r w:rsidRPr="003948BA">
        <w:t>Plan.</w:t>
      </w:r>
    </w:p>
    <w:p w:rsidR="005E5B48" w:rsidRPr="003948BA" w:rsidRDefault="005E5B48">
      <w:pPr>
        <w:pStyle w:val="BodyText"/>
        <w:spacing w:before="10"/>
        <w:rPr>
          <w:sz w:val="19"/>
        </w:rPr>
      </w:pPr>
    </w:p>
    <w:p w:rsidR="005E5B48" w:rsidRPr="003948BA" w:rsidRDefault="00814043" w:rsidP="00A002A6">
      <w:pPr>
        <w:pStyle w:val="ListParagraph"/>
        <w:numPr>
          <w:ilvl w:val="0"/>
          <w:numId w:val="10"/>
        </w:numPr>
        <w:tabs>
          <w:tab w:val="left" w:pos="2361"/>
        </w:tabs>
        <w:ind w:right="1009"/>
        <w:jc w:val="both"/>
        <w:rPr>
          <w:sz w:val="20"/>
        </w:rPr>
      </w:pPr>
      <w:r w:rsidRPr="003948BA">
        <w:rPr>
          <w:sz w:val="20"/>
        </w:rPr>
        <w:t>For the purpose of this Clause the expression “accounting income” means income calculated in accordance with the requirements of International Accounting Standards (IAS)</w:t>
      </w:r>
      <w:r w:rsidR="000355B0">
        <w:rPr>
          <w:sz w:val="20"/>
        </w:rPr>
        <w:t xml:space="preserve"> </w:t>
      </w:r>
      <w:r w:rsidRPr="003948BA">
        <w:rPr>
          <w:sz w:val="20"/>
        </w:rPr>
        <w:t>as are notified under the Companies Ordinance, 1984, the Regulations and the directives issued by SECP. Wherever the requirement of Regulations</w:t>
      </w:r>
      <w:r w:rsidRPr="003948BA">
        <w:rPr>
          <w:spacing w:val="15"/>
          <w:sz w:val="20"/>
        </w:rPr>
        <w:t xml:space="preserve"> </w:t>
      </w:r>
      <w:r w:rsidRPr="003948BA">
        <w:rPr>
          <w:sz w:val="20"/>
        </w:rPr>
        <w:t>or</w:t>
      </w:r>
      <w:r w:rsidRPr="003948BA">
        <w:rPr>
          <w:spacing w:val="11"/>
          <w:sz w:val="20"/>
        </w:rPr>
        <w:t xml:space="preserve"> </w:t>
      </w:r>
      <w:r w:rsidRPr="003948BA">
        <w:rPr>
          <w:sz w:val="20"/>
        </w:rPr>
        <w:t>the</w:t>
      </w:r>
      <w:r w:rsidRPr="003948BA">
        <w:rPr>
          <w:spacing w:val="10"/>
          <w:sz w:val="20"/>
        </w:rPr>
        <w:t xml:space="preserve"> </w:t>
      </w:r>
      <w:r w:rsidRPr="003948BA">
        <w:rPr>
          <w:sz w:val="20"/>
        </w:rPr>
        <w:t>directives</w:t>
      </w:r>
      <w:r w:rsidRPr="003948BA">
        <w:rPr>
          <w:spacing w:val="11"/>
          <w:sz w:val="20"/>
        </w:rPr>
        <w:t xml:space="preserve"> </w:t>
      </w:r>
      <w:r w:rsidRPr="003948BA">
        <w:rPr>
          <w:sz w:val="20"/>
        </w:rPr>
        <w:t>issued</w:t>
      </w:r>
      <w:r w:rsidRPr="003948BA">
        <w:rPr>
          <w:spacing w:val="12"/>
          <w:sz w:val="20"/>
        </w:rPr>
        <w:t xml:space="preserve"> </w:t>
      </w:r>
      <w:r w:rsidRPr="003948BA">
        <w:rPr>
          <w:sz w:val="20"/>
        </w:rPr>
        <w:t>by</w:t>
      </w:r>
      <w:r w:rsidRPr="003948BA">
        <w:rPr>
          <w:spacing w:val="15"/>
          <w:sz w:val="20"/>
        </w:rPr>
        <w:t xml:space="preserve"> </w:t>
      </w:r>
      <w:r w:rsidRPr="003948BA">
        <w:rPr>
          <w:sz w:val="20"/>
        </w:rPr>
        <w:t>SECP</w:t>
      </w:r>
      <w:r w:rsidRPr="003948BA">
        <w:rPr>
          <w:spacing w:val="10"/>
          <w:sz w:val="20"/>
        </w:rPr>
        <w:t xml:space="preserve"> </w:t>
      </w:r>
      <w:r w:rsidRPr="003948BA">
        <w:rPr>
          <w:sz w:val="20"/>
        </w:rPr>
        <w:t>differs</w:t>
      </w:r>
      <w:r w:rsidRPr="003948BA">
        <w:rPr>
          <w:spacing w:val="10"/>
          <w:sz w:val="20"/>
        </w:rPr>
        <w:t xml:space="preserve"> </w:t>
      </w:r>
      <w:r w:rsidRPr="003948BA">
        <w:rPr>
          <w:sz w:val="20"/>
        </w:rPr>
        <w:t>with</w:t>
      </w:r>
      <w:r w:rsidRPr="003948BA">
        <w:rPr>
          <w:spacing w:val="12"/>
          <w:sz w:val="20"/>
        </w:rPr>
        <w:t xml:space="preserve"> </w:t>
      </w:r>
      <w:r w:rsidRPr="003948BA">
        <w:rPr>
          <w:sz w:val="20"/>
        </w:rPr>
        <w:t>the</w:t>
      </w:r>
      <w:r w:rsidRPr="003948BA">
        <w:rPr>
          <w:spacing w:val="12"/>
          <w:sz w:val="20"/>
        </w:rPr>
        <w:t xml:space="preserve"> </w:t>
      </w:r>
      <w:r w:rsidRPr="003948BA">
        <w:rPr>
          <w:sz w:val="20"/>
        </w:rPr>
        <w:t>requirement</w:t>
      </w:r>
      <w:r w:rsidRPr="003948BA">
        <w:rPr>
          <w:spacing w:val="10"/>
          <w:sz w:val="20"/>
        </w:rPr>
        <w:t xml:space="preserve"> </w:t>
      </w:r>
      <w:r w:rsidRPr="003948BA">
        <w:rPr>
          <w:sz w:val="20"/>
        </w:rPr>
        <w:t>of</w:t>
      </w:r>
      <w:r w:rsidRPr="003948BA">
        <w:rPr>
          <w:spacing w:val="12"/>
          <w:sz w:val="20"/>
        </w:rPr>
        <w:t xml:space="preserve"> </w:t>
      </w:r>
      <w:r w:rsidRPr="003948BA">
        <w:rPr>
          <w:sz w:val="20"/>
        </w:rPr>
        <w:t>IAS,</w:t>
      </w:r>
    </w:p>
    <w:p w:rsidR="005E5B48" w:rsidRPr="003948BA" w:rsidRDefault="00814043">
      <w:pPr>
        <w:pStyle w:val="BodyText"/>
        <w:spacing w:line="223" w:lineRule="exact"/>
        <w:ind w:left="2360"/>
      </w:pPr>
      <w:r w:rsidRPr="003948BA">
        <w:t>the Regulations and the said directives shall prevail.</w:t>
      </w:r>
    </w:p>
    <w:p w:rsidR="005E5B48" w:rsidRPr="003948BA" w:rsidRDefault="005E5B48">
      <w:pPr>
        <w:pStyle w:val="BodyText"/>
        <w:spacing w:before="2"/>
        <w:rPr>
          <w:sz w:val="32"/>
        </w:rPr>
      </w:pPr>
    </w:p>
    <w:p w:rsidR="005E5B48" w:rsidRPr="003948BA" w:rsidRDefault="00814043" w:rsidP="00A002A6">
      <w:pPr>
        <w:pStyle w:val="Heading5"/>
        <w:numPr>
          <w:ilvl w:val="1"/>
          <w:numId w:val="39"/>
        </w:numPr>
        <w:tabs>
          <w:tab w:val="left" w:pos="1640"/>
          <w:tab w:val="left" w:pos="1641"/>
        </w:tabs>
      </w:pPr>
      <w:bookmarkStart w:id="63" w:name="_bookmark53"/>
      <w:bookmarkEnd w:id="63"/>
      <w:r w:rsidRPr="003948BA">
        <w:t>Determination of Distributable</w:t>
      </w:r>
      <w:r w:rsidRPr="003948BA">
        <w:rPr>
          <w:spacing w:val="-8"/>
        </w:rPr>
        <w:t xml:space="preserve"> </w:t>
      </w:r>
      <w:r w:rsidRPr="003948BA">
        <w:t>Income</w:t>
      </w:r>
    </w:p>
    <w:p w:rsidR="005E5B48" w:rsidRPr="003948BA" w:rsidRDefault="005E5B48">
      <w:pPr>
        <w:pStyle w:val="BodyText"/>
        <w:spacing w:before="7"/>
        <w:rPr>
          <w:b/>
          <w:sz w:val="27"/>
        </w:rPr>
      </w:pPr>
    </w:p>
    <w:p w:rsidR="005E5B48" w:rsidRPr="003948BA" w:rsidRDefault="00814043">
      <w:pPr>
        <w:pStyle w:val="BodyText"/>
        <w:ind w:left="1640" w:right="1031"/>
        <w:jc w:val="both"/>
      </w:pPr>
      <w:r w:rsidRPr="003948BA">
        <w:t>The amount available for distribution in respect of any Accounting Period shall be the sum of all income and net realized appreciation, from which shall be deducted:</w:t>
      </w:r>
    </w:p>
    <w:p w:rsidR="005E5B48" w:rsidRPr="003948BA" w:rsidRDefault="00814043" w:rsidP="00A002A6">
      <w:pPr>
        <w:pStyle w:val="ListParagraph"/>
        <w:numPr>
          <w:ilvl w:val="0"/>
          <w:numId w:val="9"/>
        </w:numPr>
        <w:tabs>
          <w:tab w:val="left" w:pos="2180"/>
          <w:tab w:val="left" w:pos="2181"/>
        </w:tabs>
        <w:spacing w:before="59"/>
        <w:rPr>
          <w:sz w:val="20"/>
        </w:rPr>
      </w:pPr>
      <w:r w:rsidRPr="003948BA">
        <w:rPr>
          <w:sz w:val="20"/>
        </w:rPr>
        <w:t>the expenses, as stated in Clause 7.2 to 7.4 of this Offering Document;</w:t>
      </w:r>
      <w:r w:rsidRPr="003948BA">
        <w:rPr>
          <w:spacing w:val="-16"/>
          <w:sz w:val="20"/>
        </w:rPr>
        <w:t xml:space="preserve"> </w:t>
      </w:r>
      <w:r w:rsidRPr="003948BA">
        <w:rPr>
          <w:sz w:val="20"/>
        </w:rPr>
        <w:t>and</w:t>
      </w:r>
    </w:p>
    <w:p w:rsidR="005E5B48" w:rsidRPr="003948BA" w:rsidRDefault="00814043" w:rsidP="00A002A6">
      <w:pPr>
        <w:pStyle w:val="ListParagraph"/>
        <w:numPr>
          <w:ilvl w:val="0"/>
          <w:numId w:val="9"/>
        </w:numPr>
        <w:tabs>
          <w:tab w:val="left" w:pos="2180"/>
          <w:tab w:val="left" w:pos="2181"/>
        </w:tabs>
        <w:spacing w:before="118"/>
        <w:rPr>
          <w:sz w:val="20"/>
        </w:rPr>
      </w:pPr>
      <w:r w:rsidRPr="003948BA">
        <w:rPr>
          <w:sz w:val="20"/>
        </w:rPr>
        <w:t>any taxes of the</w:t>
      </w:r>
      <w:r w:rsidRPr="003948BA">
        <w:rPr>
          <w:spacing w:val="-6"/>
          <w:sz w:val="20"/>
        </w:rPr>
        <w:t xml:space="preserve"> </w:t>
      </w:r>
      <w:r w:rsidRPr="003948BA">
        <w:rPr>
          <w:sz w:val="20"/>
        </w:rPr>
        <w:t>Fund</w:t>
      </w:r>
    </w:p>
    <w:p w:rsidR="005E5B48" w:rsidRPr="003948BA" w:rsidRDefault="00814043">
      <w:pPr>
        <w:pStyle w:val="BodyText"/>
        <w:spacing w:before="114"/>
        <w:ind w:left="1640" w:right="1014"/>
        <w:jc w:val="both"/>
      </w:pPr>
      <w:r w:rsidRPr="003948BA">
        <w:t>All the receipts deemed by the Management Company to be in the nature of capital accruing from Investments shall not be regarded as available for distribution but shall be retained as part of the Trust Property under the pertinent Allocation Plan, provided that such amounts out of the sale proceeds of the Investments and all other receipts as deemed by the Management Company to be in the nature of the net realized appreciation may be distributable to the Unit Holders of the Allocation Plan by the Trustee upon instructions of the Management Company and shall thereafter cease to form part of the Trust Property under the Allocation</w:t>
      </w:r>
      <w:r w:rsidRPr="003948BA">
        <w:rPr>
          <w:spacing w:val="-15"/>
        </w:rPr>
        <w:t xml:space="preserve"> </w:t>
      </w:r>
      <w:r w:rsidRPr="003948BA">
        <w:t>Plan.</w:t>
      </w:r>
    </w:p>
    <w:p w:rsidR="005E5B48" w:rsidRPr="003948BA" w:rsidRDefault="005E5B48">
      <w:pPr>
        <w:pStyle w:val="BodyText"/>
        <w:spacing w:before="11"/>
        <w:rPr>
          <w:sz w:val="29"/>
        </w:rPr>
      </w:pPr>
    </w:p>
    <w:p w:rsidR="005E5B48" w:rsidRPr="003948BA" w:rsidRDefault="00814043" w:rsidP="00A002A6">
      <w:pPr>
        <w:pStyle w:val="Heading5"/>
        <w:numPr>
          <w:ilvl w:val="1"/>
          <w:numId w:val="39"/>
        </w:numPr>
        <w:tabs>
          <w:tab w:val="left" w:pos="1640"/>
          <w:tab w:val="left" w:pos="1641"/>
        </w:tabs>
      </w:pPr>
      <w:bookmarkStart w:id="64" w:name="_bookmark54"/>
      <w:bookmarkEnd w:id="64"/>
      <w:r w:rsidRPr="003948BA">
        <w:t>Payment of</w:t>
      </w:r>
      <w:r w:rsidRPr="003948BA">
        <w:rPr>
          <w:spacing w:val="-14"/>
        </w:rPr>
        <w:t xml:space="preserve"> </w:t>
      </w:r>
      <w:r w:rsidRPr="003948BA">
        <w:t>Dividend</w:t>
      </w:r>
    </w:p>
    <w:p w:rsidR="005E5B48" w:rsidRPr="003948BA" w:rsidRDefault="00814043">
      <w:pPr>
        <w:pStyle w:val="BodyText"/>
        <w:spacing w:before="68"/>
        <w:ind w:left="1640" w:right="1014"/>
        <w:jc w:val="both"/>
      </w:pPr>
      <w:r w:rsidRPr="003948BA">
        <w:t>All payments for dividend shall be made through payment instruments or transfer of Funds to the Unit Holders designated bank account or the pledgers designated bank account in case of lien / pledge of Units as the case may be or through any other mode of payment with the approval of Commission and such payment shall be subject to the Regulations and any other applicable laws and</w:t>
      </w:r>
      <w:r w:rsidRPr="003948BA">
        <w:rPr>
          <w:spacing w:val="-13"/>
        </w:rPr>
        <w:t xml:space="preserve"> </w:t>
      </w:r>
      <w:r w:rsidRPr="003948BA">
        <w:t>taxes.</w:t>
      </w:r>
    </w:p>
    <w:p w:rsidR="005E5B48" w:rsidRPr="003948BA" w:rsidRDefault="005E5B48">
      <w:pPr>
        <w:pStyle w:val="BodyText"/>
        <w:spacing w:before="9"/>
        <w:rPr>
          <w:sz w:val="29"/>
        </w:rPr>
      </w:pPr>
    </w:p>
    <w:p w:rsidR="005E5B48" w:rsidRPr="003948BA" w:rsidRDefault="00814043" w:rsidP="00A002A6">
      <w:pPr>
        <w:pStyle w:val="Heading5"/>
        <w:numPr>
          <w:ilvl w:val="1"/>
          <w:numId w:val="39"/>
        </w:numPr>
        <w:tabs>
          <w:tab w:val="left" w:pos="1640"/>
          <w:tab w:val="left" w:pos="1641"/>
        </w:tabs>
      </w:pPr>
      <w:bookmarkStart w:id="65" w:name="_bookmark55"/>
      <w:bookmarkEnd w:id="65"/>
      <w:r w:rsidRPr="003948BA">
        <w:t>Dispatch of Dividend</w:t>
      </w:r>
      <w:r w:rsidRPr="003948BA">
        <w:rPr>
          <w:spacing w:val="-13"/>
        </w:rPr>
        <w:t xml:space="preserve"> </w:t>
      </w:r>
      <w:r w:rsidRPr="003948BA">
        <w:t>Warrants/Advice</w:t>
      </w:r>
    </w:p>
    <w:p w:rsidR="005E5B48" w:rsidRPr="003948BA" w:rsidRDefault="00814043">
      <w:pPr>
        <w:pStyle w:val="BodyText"/>
        <w:spacing w:before="68"/>
        <w:ind w:left="1640" w:right="1024"/>
        <w:jc w:val="both"/>
      </w:pPr>
      <w:r w:rsidRPr="003948BA">
        <w:t>Dividend warrants/advices/payment instruments and/or Account Statements shall be dispatched to the Unit Holders or the charge-holders at their registered addresses.</w:t>
      </w:r>
    </w:p>
    <w:p w:rsidR="005E5B48" w:rsidRPr="003948BA" w:rsidRDefault="005E5B48">
      <w:pPr>
        <w:pStyle w:val="BodyText"/>
        <w:spacing w:before="10"/>
        <w:rPr>
          <w:sz w:val="29"/>
        </w:rPr>
      </w:pPr>
    </w:p>
    <w:p w:rsidR="005E5B48" w:rsidRPr="003948BA" w:rsidRDefault="00814043" w:rsidP="00A002A6">
      <w:pPr>
        <w:pStyle w:val="Heading5"/>
        <w:numPr>
          <w:ilvl w:val="1"/>
          <w:numId w:val="39"/>
        </w:numPr>
        <w:tabs>
          <w:tab w:val="left" w:pos="1640"/>
          <w:tab w:val="left" w:pos="1641"/>
        </w:tabs>
        <w:spacing w:before="1"/>
      </w:pPr>
      <w:bookmarkStart w:id="66" w:name="_bookmark56"/>
      <w:bookmarkEnd w:id="66"/>
      <w:r w:rsidRPr="003948BA">
        <w:t>Reinvestment of</w:t>
      </w:r>
      <w:r w:rsidRPr="003948BA">
        <w:rPr>
          <w:spacing w:val="-6"/>
        </w:rPr>
        <w:t xml:space="preserve"> </w:t>
      </w:r>
      <w:r w:rsidRPr="003948BA">
        <w:t>Dividend</w:t>
      </w:r>
    </w:p>
    <w:p w:rsidR="005E5B48" w:rsidRPr="003948BA" w:rsidRDefault="00814043">
      <w:pPr>
        <w:pStyle w:val="BodyText"/>
        <w:spacing w:before="67"/>
        <w:ind w:left="1640" w:right="1009"/>
        <w:jc w:val="both"/>
      </w:pPr>
      <w:r w:rsidRPr="003948BA">
        <w:t>The Management Company shall give the Unit Holders the option at the time of opening of Unit Holder Account (via Investor Account Opening Form) to have any Cash/ Bonus/ Stock Dividend announced for an Allocation Plan be reinvested on behalf of the investor through issuance of new Units, of the pertinent Allocation Plan, within the Unit Holder register after deduction of applicable taxes.</w:t>
      </w:r>
    </w:p>
    <w:p w:rsidR="005E5B48" w:rsidRPr="003948BA" w:rsidRDefault="005E5B48">
      <w:pPr>
        <w:pStyle w:val="BodyText"/>
        <w:spacing w:before="8"/>
        <w:rPr>
          <w:sz w:val="27"/>
        </w:rPr>
      </w:pPr>
    </w:p>
    <w:p w:rsidR="005E5B48" w:rsidRPr="003948BA" w:rsidRDefault="00814043" w:rsidP="00A002A6">
      <w:pPr>
        <w:pStyle w:val="Heading5"/>
        <w:numPr>
          <w:ilvl w:val="1"/>
          <w:numId w:val="39"/>
        </w:numPr>
        <w:tabs>
          <w:tab w:val="left" w:pos="1640"/>
          <w:tab w:val="left" w:pos="1641"/>
        </w:tabs>
        <w:spacing w:before="1"/>
      </w:pPr>
      <w:bookmarkStart w:id="67" w:name="_bookmark57"/>
      <w:bookmarkEnd w:id="67"/>
      <w:r w:rsidRPr="003948BA">
        <w:t>Unit issuance for reinvestment of</w:t>
      </w:r>
      <w:r w:rsidRPr="003948BA">
        <w:rPr>
          <w:spacing w:val="-7"/>
        </w:rPr>
        <w:t xml:space="preserve"> </w:t>
      </w:r>
      <w:r w:rsidRPr="003948BA">
        <w:t>Dividend</w:t>
      </w:r>
    </w:p>
    <w:p w:rsidR="005E5B48" w:rsidRPr="003948BA" w:rsidRDefault="00814043">
      <w:pPr>
        <w:pStyle w:val="BodyText"/>
        <w:spacing w:before="67"/>
        <w:ind w:left="1640" w:right="1007"/>
        <w:jc w:val="both"/>
      </w:pPr>
      <w:r w:rsidRPr="003948BA">
        <w:t xml:space="preserve">The Management Company </w:t>
      </w:r>
      <w:r w:rsidRPr="003948BA">
        <w:rPr>
          <w:spacing w:val="1"/>
        </w:rPr>
        <w:t xml:space="preserve">may </w:t>
      </w:r>
      <w:r w:rsidRPr="003948BA">
        <w:t xml:space="preserve">decide to distribute, wholly or in part, the distributable income in the form of cash dividend or bonus / stock dividend, for each Allocation Plan under the Fund, if it is in the interest of Unit Holders. After the fixing of the rate of distribution per Unit of an Allocation Plan, the Management Company shall, under intimation to the Trustee, issue additional Class “C” &amp; “D” Units of the pertinent Allocation Plan for Bonus / Stock Dividend and Class “E” &amp; “F” units of the pertinent Allocation Plan for reinvestment of Cash Dividend in the  name  of  the Unit Holders . The Class “C”,  </w:t>
      </w:r>
      <w:r w:rsidRPr="003948BA">
        <w:lastRenderedPageBreak/>
        <w:t xml:space="preserve">Class “D”, Class “E” and Class “F” units of an Allocation Plan would rank </w:t>
      </w:r>
      <w:proofErr w:type="spellStart"/>
      <w:r w:rsidRPr="003948BA">
        <w:t>pari</w:t>
      </w:r>
      <w:proofErr w:type="spellEnd"/>
      <w:r w:rsidRPr="003948BA">
        <w:t xml:space="preserve"> </w:t>
      </w:r>
      <w:proofErr w:type="spellStart"/>
      <w:r w:rsidRPr="003948BA">
        <w:t>passu</w:t>
      </w:r>
      <w:proofErr w:type="spellEnd"/>
      <w:r w:rsidRPr="003948BA">
        <w:t xml:space="preserve"> as to their rights in the Net Assets, earnings and receipt of dividend and distribution with the existing Units of the pertinent Allocation Plan from the date of issue of these Units. The account statement (electronic or physical) or Unit Certificate shall be dispatched to the Unit Holder within fifteen days of the issue of these</w:t>
      </w:r>
      <w:r w:rsidRPr="003948BA">
        <w:rPr>
          <w:spacing w:val="-14"/>
        </w:rPr>
        <w:t xml:space="preserve"> </w:t>
      </w:r>
      <w:r w:rsidRPr="003948BA">
        <w:t>Units.</w:t>
      </w:r>
    </w:p>
    <w:p w:rsidR="005E5B48" w:rsidRPr="003948BA" w:rsidRDefault="005E5B48">
      <w:pPr>
        <w:pStyle w:val="BodyText"/>
        <w:rPr>
          <w:sz w:val="32"/>
        </w:rPr>
      </w:pPr>
    </w:p>
    <w:p w:rsidR="005E5B48" w:rsidRPr="003948BA" w:rsidRDefault="00814043" w:rsidP="00A002A6">
      <w:pPr>
        <w:pStyle w:val="Heading5"/>
        <w:numPr>
          <w:ilvl w:val="1"/>
          <w:numId w:val="39"/>
        </w:numPr>
        <w:tabs>
          <w:tab w:val="left" w:pos="1640"/>
          <w:tab w:val="left" w:pos="1641"/>
        </w:tabs>
      </w:pPr>
      <w:bookmarkStart w:id="68" w:name="_bookmark58"/>
      <w:bookmarkEnd w:id="68"/>
      <w:r w:rsidRPr="003948BA">
        <w:t>Closure of</w:t>
      </w:r>
      <w:r w:rsidRPr="003948BA">
        <w:rPr>
          <w:spacing w:val="-7"/>
        </w:rPr>
        <w:t xml:space="preserve"> </w:t>
      </w:r>
      <w:r w:rsidRPr="003948BA">
        <w:t>Register</w:t>
      </w:r>
    </w:p>
    <w:p w:rsidR="005E5B48" w:rsidRPr="003948BA" w:rsidRDefault="00814043">
      <w:pPr>
        <w:pStyle w:val="BodyText"/>
        <w:spacing w:before="66"/>
        <w:ind w:left="1640" w:right="1010"/>
        <w:jc w:val="both"/>
      </w:pPr>
      <w:r w:rsidRPr="003948BA">
        <w:t>The Management Company may close the Register by giving at least seven (7) days‟ notice to Unit Holder provided that the time period for closure of register shall not exceed six (6) working days at a time and whole forty five days in a Financial Year. During the closure period, the sale, redemption, conversion of Units or transfer of Units will be suspended. Notice for closure of register should be published in two newspapers (Urdu and English language) having circulation in</w:t>
      </w:r>
      <w:r w:rsidRPr="003948BA">
        <w:rPr>
          <w:spacing w:val="-12"/>
        </w:rPr>
        <w:t xml:space="preserve"> </w:t>
      </w:r>
      <w:r w:rsidRPr="003948BA">
        <w:t>Pakistan</w:t>
      </w:r>
    </w:p>
    <w:p w:rsidR="005E5B48" w:rsidRPr="003948BA" w:rsidRDefault="005E5B48">
      <w:pPr>
        <w:jc w:val="both"/>
      </w:pPr>
    </w:p>
    <w:p w:rsidR="00765E07" w:rsidRPr="003948BA" w:rsidRDefault="00765E07">
      <w:pPr>
        <w:jc w:val="both"/>
      </w:pPr>
    </w:p>
    <w:p w:rsidR="005E5B48" w:rsidRPr="003948BA" w:rsidRDefault="00814043" w:rsidP="00A002A6">
      <w:pPr>
        <w:pStyle w:val="Heading5"/>
        <w:numPr>
          <w:ilvl w:val="0"/>
          <w:numId w:val="39"/>
        </w:numPr>
        <w:tabs>
          <w:tab w:val="left" w:pos="1352"/>
          <w:tab w:val="left" w:pos="1353"/>
        </w:tabs>
        <w:spacing w:line="223" w:lineRule="exact"/>
        <w:ind w:left="1352"/>
        <w:jc w:val="left"/>
      </w:pPr>
      <w:bookmarkStart w:id="69" w:name="_bookmark59"/>
      <w:bookmarkEnd w:id="69"/>
      <w:r w:rsidRPr="003948BA">
        <w:t>FEE AND</w:t>
      </w:r>
      <w:r w:rsidRPr="003948BA">
        <w:rPr>
          <w:spacing w:val="-5"/>
        </w:rPr>
        <w:t xml:space="preserve"> </w:t>
      </w:r>
      <w:r w:rsidRPr="003948BA">
        <w:t>CHARGES</w:t>
      </w:r>
    </w:p>
    <w:p w:rsidR="005E5B48" w:rsidRPr="003948BA" w:rsidRDefault="00814043" w:rsidP="00A002A6">
      <w:pPr>
        <w:pStyle w:val="Heading5"/>
        <w:numPr>
          <w:ilvl w:val="1"/>
          <w:numId w:val="39"/>
        </w:numPr>
        <w:tabs>
          <w:tab w:val="left" w:pos="1640"/>
          <w:tab w:val="left" w:pos="1641"/>
        </w:tabs>
        <w:spacing w:before="120"/>
      </w:pPr>
      <w:bookmarkStart w:id="70" w:name="_bookmark60"/>
      <w:bookmarkEnd w:id="70"/>
      <w:r w:rsidRPr="003948BA">
        <w:t>Fees and Charges Payable by an</w:t>
      </w:r>
      <w:r w:rsidRPr="003948BA">
        <w:rPr>
          <w:spacing w:val="-12"/>
        </w:rPr>
        <w:t xml:space="preserve"> </w:t>
      </w:r>
      <w:r w:rsidRPr="003948BA">
        <w:t>Investor</w:t>
      </w:r>
    </w:p>
    <w:p w:rsidR="005E5B48" w:rsidRPr="003948BA" w:rsidRDefault="00814043">
      <w:pPr>
        <w:pStyle w:val="BodyText"/>
        <w:spacing w:before="68"/>
        <w:ind w:left="1640"/>
        <w:jc w:val="both"/>
      </w:pPr>
      <w:r w:rsidRPr="003948BA">
        <w:t>The following fees and charges shall be borne by the Investor:</w:t>
      </w:r>
    </w:p>
    <w:p w:rsidR="005E5B48" w:rsidRPr="003948BA" w:rsidRDefault="005E5B48">
      <w:pPr>
        <w:pStyle w:val="BodyText"/>
        <w:spacing w:before="3"/>
      </w:pPr>
    </w:p>
    <w:p w:rsidR="005E5B48" w:rsidRPr="003948BA" w:rsidRDefault="00814043" w:rsidP="00A002A6">
      <w:pPr>
        <w:pStyle w:val="Heading5"/>
        <w:numPr>
          <w:ilvl w:val="2"/>
          <w:numId w:val="39"/>
        </w:numPr>
        <w:tabs>
          <w:tab w:val="left" w:pos="1640"/>
          <w:tab w:val="left" w:pos="1641"/>
        </w:tabs>
      </w:pPr>
      <w:r w:rsidRPr="003948BA">
        <w:t>Front-end</w:t>
      </w:r>
      <w:r w:rsidRPr="003948BA">
        <w:rPr>
          <w:spacing w:val="-6"/>
        </w:rPr>
        <w:t xml:space="preserve"> </w:t>
      </w:r>
      <w:r w:rsidRPr="003948BA">
        <w:t>Load</w:t>
      </w:r>
    </w:p>
    <w:p w:rsidR="005E5B48" w:rsidRPr="003948BA" w:rsidRDefault="00814043">
      <w:pPr>
        <w:pStyle w:val="BodyText"/>
        <w:spacing w:before="68"/>
        <w:ind w:left="1640" w:right="1006"/>
        <w:jc w:val="both"/>
      </w:pPr>
      <w:r w:rsidRPr="003948BA">
        <w:t>Front end Load is a part of Sales Load which may be included in the offer price of the Units. The remuneration of Distributors shall be paid from such Load and if the Front-end Load is insufficient to pay the remuneration of the Distributors, the Management Company shall pay the amount necessary to pay in full such remuneration and no charges shall be made against the Fund Property or the Distribution Account in this respect.  Such payments may be made to the Distributors by the Management Company upon the receipt from the</w:t>
      </w:r>
      <w:r w:rsidRPr="003948BA">
        <w:rPr>
          <w:spacing w:val="-3"/>
        </w:rPr>
        <w:t xml:space="preserve"> </w:t>
      </w:r>
      <w:r w:rsidRPr="003948BA">
        <w:t>Trustee.</w:t>
      </w:r>
    </w:p>
    <w:p w:rsidR="005E5B48" w:rsidRPr="003948BA" w:rsidRDefault="005E5B48">
      <w:pPr>
        <w:pStyle w:val="BodyText"/>
        <w:spacing w:before="10"/>
        <w:rPr>
          <w:sz w:val="19"/>
        </w:rPr>
      </w:pPr>
    </w:p>
    <w:p w:rsidR="005E5B48" w:rsidRPr="003948BA" w:rsidRDefault="00814043">
      <w:pPr>
        <w:pStyle w:val="BodyText"/>
        <w:ind w:left="1640" w:right="1014"/>
        <w:jc w:val="both"/>
      </w:pPr>
      <w:r w:rsidRPr="003948BA">
        <w:t>The Management Company may at its discretion charge different levels of Load on different Allocation Plans being offered by the Management Company under this Scheme, and are disclosed as Annexure B. Any change in Front-end Load shall be done through an addendum to the Offering Document after seeking prior approval of the</w:t>
      </w:r>
      <w:r w:rsidRPr="003948BA">
        <w:rPr>
          <w:spacing w:val="-31"/>
        </w:rPr>
        <w:t xml:space="preserve"> </w:t>
      </w:r>
      <w:r w:rsidRPr="003948BA">
        <w:t>Commission.</w:t>
      </w:r>
    </w:p>
    <w:p w:rsidR="005E5B48" w:rsidRPr="003948BA" w:rsidRDefault="005E5B48">
      <w:pPr>
        <w:pStyle w:val="BodyText"/>
      </w:pPr>
    </w:p>
    <w:p w:rsidR="005E5B48" w:rsidRPr="003948BA" w:rsidRDefault="00814043">
      <w:pPr>
        <w:pStyle w:val="BodyText"/>
        <w:ind w:left="1640" w:right="1010"/>
        <w:jc w:val="both"/>
      </w:pPr>
      <w:r w:rsidRPr="003948BA">
        <w:t>A Distributor located outside Pakistan may if so authorized by the Management Company and the Trustee retain such portion of the Front-end Load as is authorized by the Management Company and transfer the net amount to the Trustee, subject to the law for the time being in force.</w:t>
      </w:r>
    </w:p>
    <w:p w:rsidR="005E5B48" w:rsidRPr="003948BA" w:rsidRDefault="005E5B48">
      <w:pPr>
        <w:pStyle w:val="BodyText"/>
        <w:spacing w:before="2"/>
      </w:pPr>
    </w:p>
    <w:p w:rsidR="005E5B48" w:rsidRPr="003948BA" w:rsidRDefault="00814043">
      <w:pPr>
        <w:pStyle w:val="BodyText"/>
        <w:ind w:left="1640" w:right="1022"/>
        <w:jc w:val="both"/>
      </w:pPr>
      <w:r w:rsidRPr="003948BA">
        <w:t>The issue price applicable to Bonus Units issued by way of bonus / stock dividend distribution or issue of Units in lieu of cash dividend distribution shall not include any sales or processing charge.</w:t>
      </w:r>
    </w:p>
    <w:p w:rsidR="005E5B48" w:rsidRPr="003948BA" w:rsidRDefault="005E5B48">
      <w:pPr>
        <w:pStyle w:val="BodyText"/>
        <w:spacing w:before="3"/>
        <w:rPr>
          <w:sz w:val="18"/>
        </w:rPr>
      </w:pPr>
    </w:p>
    <w:p w:rsidR="005E5B48" w:rsidRPr="003948BA" w:rsidRDefault="00814043" w:rsidP="00A002A6">
      <w:pPr>
        <w:pStyle w:val="Heading5"/>
        <w:numPr>
          <w:ilvl w:val="2"/>
          <w:numId w:val="39"/>
        </w:numPr>
        <w:tabs>
          <w:tab w:val="left" w:pos="1640"/>
          <w:tab w:val="left" w:pos="1641"/>
        </w:tabs>
      </w:pPr>
      <w:r w:rsidRPr="003948BA">
        <w:t>Contingent</w:t>
      </w:r>
      <w:r w:rsidRPr="003948BA">
        <w:rPr>
          <w:spacing w:val="-4"/>
        </w:rPr>
        <w:t xml:space="preserve"> </w:t>
      </w:r>
      <w:r w:rsidRPr="003948BA">
        <w:t>Load</w:t>
      </w:r>
    </w:p>
    <w:p w:rsidR="005E5B48" w:rsidRPr="003948BA" w:rsidRDefault="005E5B48">
      <w:pPr>
        <w:pStyle w:val="BodyText"/>
        <w:spacing w:before="6"/>
        <w:rPr>
          <w:b/>
          <w:sz w:val="27"/>
        </w:rPr>
      </w:pPr>
    </w:p>
    <w:p w:rsidR="005E5B48" w:rsidRPr="003948BA" w:rsidRDefault="00814043" w:rsidP="004724FC">
      <w:pPr>
        <w:pStyle w:val="BodyText"/>
        <w:spacing w:before="1"/>
        <w:ind w:left="1640" w:right="1013"/>
        <w:jc w:val="both"/>
      </w:pPr>
      <w:r w:rsidRPr="003948BA">
        <w:t xml:space="preserve">Contingent Load is deducted from the Net Asset Value (NAV) of Units of Allocation Plan in determining the Redemption Price for the Units of the pertinent </w:t>
      </w:r>
      <w:r w:rsidR="00A34D4D" w:rsidRPr="003948BA">
        <w:t>P</w:t>
      </w:r>
      <w:r w:rsidR="0046152E" w:rsidRPr="003948BA">
        <w:t xml:space="preserve">rincipal </w:t>
      </w:r>
      <w:r w:rsidRPr="003948BA">
        <w:t>Plan; provided however that different levels of Contingent Load may be applied to different classes of Units of different Allocation Plans, but Unit Holders of an Allocation Plan within a class shall</w:t>
      </w:r>
      <w:r w:rsidRPr="003948BA">
        <w:rPr>
          <w:spacing w:val="20"/>
        </w:rPr>
        <w:t xml:space="preserve"> </w:t>
      </w:r>
      <w:r w:rsidRPr="003948BA">
        <w:t>be</w:t>
      </w:r>
      <w:r w:rsidRPr="003948BA">
        <w:rPr>
          <w:spacing w:val="15"/>
        </w:rPr>
        <w:t xml:space="preserve"> </w:t>
      </w:r>
      <w:r w:rsidRPr="003948BA">
        <w:t>charged</w:t>
      </w:r>
      <w:r w:rsidRPr="003948BA">
        <w:rPr>
          <w:spacing w:val="16"/>
        </w:rPr>
        <w:t xml:space="preserve"> </w:t>
      </w:r>
      <w:r w:rsidRPr="003948BA">
        <w:t>same</w:t>
      </w:r>
      <w:r w:rsidRPr="003948BA">
        <w:rPr>
          <w:spacing w:val="15"/>
        </w:rPr>
        <w:t xml:space="preserve"> </w:t>
      </w:r>
      <w:r w:rsidRPr="003948BA">
        <w:t>level</w:t>
      </w:r>
      <w:r w:rsidRPr="003948BA">
        <w:rPr>
          <w:spacing w:val="15"/>
        </w:rPr>
        <w:t xml:space="preserve"> </w:t>
      </w:r>
      <w:r w:rsidRPr="003948BA">
        <w:t>of</w:t>
      </w:r>
      <w:r w:rsidRPr="003948BA">
        <w:rPr>
          <w:spacing w:val="22"/>
        </w:rPr>
        <w:t xml:space="preserve"> </w:t>
      </w:r>
      <w:r w:rsidRPr="003948BA">
        <w:t>contingent</w:t>
      </w:r>
      <w:r w:rsidRPr="003948BA">
        <w:rPr>
          <w:spacing w:val="18"/>
        </w:rPr>
        <w:t xml:space="preserve"> </w:t>
      </w:r>
      <w:r w:rsidRPr="003948BA">
        <w:t>load.</w:t>
      </w:r>
      <w:r w:rsidRPr="003948BA">
        <w:rPr>
          <w:spacing w:val="18"/>
        </w:rPr>
        <w:t xml:space="preserve"> </w:t>
      </w:r>
      <w:r w:rsidRPr="003948BA">
        <w:t>Management</w:t>
      </w:r>
      <w:r w:rsidRPr="003948BA">
        <w:rPr>
          <w:spacing w:val="16"/>
        </w:rPr>
        <w:t xml:space="preserve"> </w:t>
      </w:r>
      <w:r w:rsidRPr="003948BA">
        <w:t>Company</w:t>
      </w:r>
      <w:r w:rsidRPr="003948BA">
        <w:rPr>
          <w:spacing w:val="10"/>
        </w:rPr>
        <w:t xml:space="preserve"> </w:t>
      </w:r>
      <w:r w:rsidRPr="003948BA">
        <w:t>may</w:t>
      </w:r>
      <w:r w:rsidRPr="003948BA">
        <w:rPr>
          <w:spacing w:val="6"/>
        </w:rPr>
        <w:t xml:space="preserve"> </w:t>
      </w:r>
      <w:r w:rsidRPr="003948BA">
        <w:t>change</w:t>
      </w:r>
      <w:r w:rsidRPr="003948BA">
        <w:rPr>
          <w:spacing w:val="18"/>
        </w:rPr>
        <w:t xml:space="preserve"> </w:t>
      </w:r>
      <w:r w:rsidRPr="003948BA">
        <w:t>the</w:t>
      </w:r>
      <w:r w:rsidR="004724FC" w:rsidRPr="003948BA">
        <w:t xml:space="preserve"> </w:t>
      </w:r>
      <w:r w:rsidRPr="003948BA">
        <w:t>current level of Contingent Load after giving 90 days prior notice to the Unit-Holders of the pertinent Allocation Plan through newspaper (either Urdu or English Newspaper) and / or via post and the unit holders shall be given an option to exit at the applicable NAV without charge of contingent load as specified in the Regulation.</w:t>
      </w:r>
    </w:p>
    <w:p w:rsidR="005E5B48" w:rsidRPr="003948BA" w:rsidRDefault="005E5B48">
      <w:pPr>
        <w:pStyle w:val="BodyText"/>
        <w:spacing w:before="11"/>
        <w:rPr>
          <w:sz w:val="19"/>
        </w:rPr>
      </w:pPr>
    </w:p>
    <w:p w:rsidR="005E5B48" w:rsidRPr="003948BA" w:rsidRDefault="00814043">
      <w:pPr>
        <w:pStyle w:val="BodyText"/>
        <w:ind w:left="1640"/>
        <w:jc w:val="both"/>
      </w:pPr>
      <w:r w:rsidRPr="003948BA">
        <w:t>The current level of Contingent Load is indicated in Annexure B.</w:t>
      </w:r>
    </w:p>
    <w:p w:rsidR="005E5B48" w:rsidRPr="003948BA" w:rsidRDefault="005E5B48">
      <w:pPr>
        <w:pStyle w:val="BodyText"/>
        <w:spacing w:before="6"/>
      </w:pPr>
    </w:p>
    <w:p w:rsidR="005E5B48" w:rsidRPr="003948BA" w:rsidRDefault="00814043" w:rsidP="00A002A6">
      <w:pPr>
        <w:pStyle w:val="Heading5"/>
        <w:numPr>
          <w:ilvl w:val="2"/>
          <w:numId w:val="39"/>
        </w:numPr>
        <w:tabs>
          <w:tab w:val="left" w:pos="1640"/>
          <w:tab w:val="left" w:pos="1641"/>
        </w:tabs>
      </w:pPr>
      <w:r w:rsidRPr="003948BA">
        <w:t>Other</w:t>
      </w:r>
      <w:r w:rsidRPr="003948BA">
        <w:rPr>
          <w:spacing w:val="-9"/>
        </w:rPr>
        <w:t xml:space="preserve"> </w:t>
      </w:r>
      <w:r w:rsidRPr="003948BA">
        <w:t>Charges</w:t>
      </w:r>
    </w:p>
    <w:p w:rsidR="005E5B48" w:rsidRPr="003948BA" w:rsidRDefault="00814043">
      <w:pPr>
        <w:pStyle w:val="BodyText"/>
        <w:spacing w:before="68"/>
        <w:ind w:left="1640" w:right="1014"/>
        <w:jc w:val="both"/>
      </w:pPr>
      <w:r w:rsidRPr="003948BA">
        <w:t xml:space="preserve">Transfer of Units from one owner to another may be subject to a Processing charge at the date the request is lodged, which shall be recovered from the transferee. However, the processing charge shall not be payable by the successors in the case of inheritance or </w:t>
      </w:r>
      <w:r w:rsidRPr="003948BA">
        <w:lastRenderedPageBreak/>
        <w:t>distribution of the estate of a deceased Unit Holder.</w:t>
      </w:r>
    </w:p>
    <w:p w:rsidR="005E5B48" w:rsidRPr="003948BA" w:rsidRDefault="005E5B48">
      <w:pPr>
        <w:pStyle w:val="BodyText"/>
        <w:spacing w:before="11"/>
        <w:rPr>
          <w:sz w:val="19"/>
        </w:rPr>
      </w:pPr>
    </w:p>
    <w:p w:rsidR="005E5B48" w:rsidRPr="003948BA" w:rsidRDefault="00814043">
      <w:pPr>
        <w:pStyle w:val="BodyText"/>
        <w:ind w:left="1640" w:right="1011"/>
        <w:jc w:val="both"/>
      </w:pPr>
      <w:r w:rsidRPr="003948BA">
        <w:t>Units of Allocation Plan issued to an Account holder through conversion from another scheme run by the Management Company, or from another Allocation Plan under the Scheme, shall be issued at a price based on the Net Asset Value of the Allocation Plan on that date, plus the applicable Front-end Load.</w:t>
      </w:r>
    </w:p>
    <w:p w:rsidR="005E5B48" w:rsidRPr="003948BA" w:rsidRDefault="005E5B48">
      <w:pPr>
        <w:pStyle w:val="BodyText"/>
        <w:rPr>
          <w:sz w:val="22"/>
        </w:rPr>
      </w:pPr>
    </w:p>
    <w:p w:rsidR="005A03AE" w:rsidRPr="003948BA" w:rsidRDefault="005A03AE">
      <w:pPr>
        <w:pStyle w:val="BodyText"/>
        <w:spacing w:before="3"/>
      </w:pPr>
    </w:p>
    <w:p w:rsidR="005E5B48" w:rsidRPr="003948BA" w:rsidRDefault="00814043" w:rsidP="00A002A6">
      <w:pPr>
        <w:pStyle w:val="Heading5"/>
        <w:numPr>
          <w:ilvl w:val="2"/>
          <w:numId w:val="39"/>
        </w:numPr>
        <w:tabs>
          <w:tab w:val="left" w:pos="1640"/>
          <w:tab w:val="left" w:pos="1641"/>
        </w:tabs>
        <w:spacing w:before="1"/>
      </w:pPr>
      <w:r w:rsidRPr="003948BA">
        <w:t>Expenses borne by the Management Company and the</w:t>
      </w:r>
      <w:r w:rsidRPr="003948BA">
        <w:rPr>
          <w:spacing w:val="-14"/>
        </w:rPr>
        <w:t xml:space="preserve"> </w:t>
      </w:r>
      <w:r w:rsidRPr="003948BA">
        <w:t>Trustee</w:t>
      </w:r>
    </w:p>
    <w:p w:rsidR="005E5B48" w:rsidRPr="003948BA" w:rsidRDefault="00814043">
      <w:pPr>
        <w:pStyle w:val="BodyText"/>
        <w:spacing w:before="68"/>
        <w:ind w:left="1640" w:right="1012"/>
        <w:jc w:val="both"/>
      </w:pPr>
      <w:r w:rsidRPr="003948BA">
        <w:t>The Management Company and Trustee shall bear all expenditures in respect of their respective secretarial and office space and professional management services provided in accordance with the provisions of the Deed. Neither the Management Company nor the Trustee shall make any charge against the Unit Holders nor against the Trust Property nor against the Distribution Account for their services nor for expenses, except such expenses or fees as are expressly authorized under the provisions of the Regulations and the Deed to be payable out of Trust Property.</w:t>
      </w:r>
    </w:p>
    <w:p w:rsidR="005E5B48" w:rsidRPr="003948BA" w:rsidRDefault="005E5B48">
      <w:pPr>
        <w:pStyle w:val="BodyText"/>
        <w:spacing w:before="5"/>
        <w:rPr>
          <w:sz w:val="10"/>
        </w:rPr>
      </w:pPr>
    </w:p>
    <w:p w:rsidR="005E5B48" w:rsidRPr="003948BA" w:rsidRDefault="00814043">
      <w:pPr>
        <w:pStyle w:val="BodyText"/>
        <w:spacing w:before="93"/>
        <w:ind w:left="1640" w:right="1022"/>
        <w:jc w:val="both"/>
      </w:pPr>
      <w:r w:rsidRPr="003948BA">
        <w:t>Any cost associated with sales, marketing and advertisement of collective investments schemes shall not be charged to the collective investment schemes</w:t>
      </w:r>
    </w:p>
    <w:p w:rsidR="005E5B48" w:rsidRPr="003948BA" w:rsidRDefault="005E5B48">
      <w:pPr>
        <w:pStyle w:val="BodyText"/>
        <w:spacing w:before="4"/>
      </w:pPr>
    </w:p>
    <w:p w:rsidR="005E5B48" w:rsidRPr="003948BA" w:rsidRDefault="00814043" w:rsidP="00A002A6">
      <w:pPr>
        <w:pStyle w:val="Heading5"/>
        <w:numPr>
          <w:ilvl w:val="2"/>
          <w:numId w:val="39"/>
        </w:numPr>
        <w:tabs>
          <w:tab w:val="left" w:pos="1640"/>
          <w:tab w:val="left" w:pos="1641"/>
        </w:tabs>
      </w:pPr>
      <w:r w:rsidRPr="003948BA">
        <w:t>Remuneration of Distribution Company / Investment Agent / Investment</w:t>
      </w:r>
      <w:r w:rsidRPr="003948BA">
        <w:rPr>
          <w:spacing w:val="-22"/>
        </w:rPr>
        <w:t xml:space="preserve"> </w:t>
      </w:r>
      <w:r w:rsidRPr="003948BA">
        <w:t>Facilitator</w:t>
      </w:r>
    </w:p>
    <w:p w:rsidR="005E5B48" w:rsidRPr="003948BA" w:rsidRDefault="005E5B48">
      <w:pPr>
        <w:pStyle w:val="BodyText"/>
        <w:spacing w:before="7"/>
        <w:rPr>
          <w:b/>
          <w:sz w:val="27"/>
        </w:rPr>
      </w:pPr>
    </w:p>
    <w:p w:rsidR="005E5B48" w:rsidRPr="003948BA" w:rsidRDefault="00814043">
      <w:pPr>
        <w:pStyle w:val="BodyText"/>
        <w:ind w:left="1640" w:right="1017"/>
        <w:jc w:val="both"/>
      </w:pPr>
      <w:r w:rsidRPr="003948BA">
        <w:t>The Distribution Company employed by the Management Company will be entitled to a remuneration payable by the Management Company out of its own resources and/or from Front End Load on terms to be agreed between the Management Company and the Distribution Company. The Investment Facilitator/Investment Adviser/Sales Agent employed by the Management Company will be entitled to a remuneration payable by the Management Company out of its own resources.</w:t>
      </w:r>
    </w:p>
    <w:p w:rsidR="005E5B48" w:rsidRPr="003948BA" w:rsidRDefault="005E5B48">
      <w:pPr>
        <w:pStyle w:val="BodyText"/>
        <w:spacing w:before="2"/>
      </w:pPr>
    </w:p>
    <w:p w:rsidR="005E5B48" w:rsidRPr="003948BA" w:rsidRDefault="00814043">
      <w:pPr>
        <w:pStyle w:val="BodyText"/>
        <w:spacing w:before="1"/>
        <w:ind w:left="1640" w:right="1018"/>
        <w:jc w:val="both"/>
      </w:pPr>
      <w:r w:rsidRPr="003948BA">
        <w:t xml:space="preserve">Distributors located outside Pakistan may, if so authorized by Trustee and the Management Company, be entitled to remuneration (from Management </w:t>
      </w:r>
      <w:proofErr w:type="spellStart"/>
      <w:r w:rsidRPr="003948BA">
        <w:t>Company‟s</w:t>
      </w:r>
      <w:proofErr w:type="spellEnd"/>
      <w:r w:rsidRPr="003948BA">
        <w:t xml:space="preserve"> own resources) on terms to be agreed between them and the Management Company, subject to the law for the time being in</w:t>
      </w:r>
      <w:r w:rsidRPr="003948BA">
        <w:rPr>
          <w:spacing w:val="-9"/>
        </w:rPr>
        <w:t xml:space="preserve"> </w:t>
      </w:r>
      <w:r w:rsidRPr="003948BA">
        <w:t>force.</w:t>
      </w:r>
    </w:p>
    <w:p w:rsidR="005E5B48" w:rsidRPr="003948BA" w:rsidRDefault="005E5B48">
      <w:pPr>
        <w:pStyle w:val="BodyText"/>
        <w:spacing w:before="10"/>
        <w:rPr>
          <w:sz w:val="31"/>
        </w:rPr>
      </w:pPr>
    </w:p>
    <w:p w:rsidR="005E5B48" w:rsidRPr="003948BA" w:rsidRDefault="00814043" w:rsidP="00A002A6">
      <w:pPr>
        <w:pStyle w:val="Heading5"/>
        <w:numPr>
          <w:ilvl w:val="1"/>
          <w:numId w:val="39"/>
        </w:numPr>
        <w:tabs>
          <w:tab w:val="left" w:pos="1640"/>
          <w:tab w:val="left" w:pos="1641"/>
        </w:tabs>
      </w:pPr>
      <w:bookmarkStart w:id="71" w:name="_bookmark61"/>
      <w:bookmarkEnd w:id="71"/>
      <w:r w:rsidRPr="003948BA">
        <w:t>Fees and Charges Payable by the</w:t>
      </w:r>
      <w:r w:rsidRPr="003948BA">
        <w:rPr>
          <w:spacing w:val="-15"/>
        </w:rPr>
        <w:t xml:space="preserve"> </w:t>
      </w:r>
      <w:r w:rsidRPr="003948BA">
        <w:t>Fund</w:t>
      </w:r>
    </w:p>
    <w:p w:rsidR="005E5B48" w:rsidRPr="003948BA" w:rsidRDefault="005E5B48">
      <w:pPr>
        <w:pStyle w:val="BodyText"/>
        <w:spacing w:before="6"/>
        <w:rPr>
          <w:b/>
          <w:sz w:val="25"/>
        </w:rPr>
      </w:pPr>
    </w:p>
    <w:p w:rsidR="005E5B48" w:rsidRPr="003948BA" w:rsidRDefault="00814043">
      <w:pPr>
        <w:pStyle w:val="BodyText"/>
        <w:ind w:left="1640" w:right="1025"/>
        <w:jc w:val="both"/>
      </w:pPr>
      <w:r w:rsidRPr="003948BA">
        <w:t>Separate expense &amp; income accounts may be set up for each Allocation Plan. The following expenses shall be borne by the Fund:</w:t>
      </w:r>
    </w:p>
    <w:p w:rsidR="005E5B48" w:rsidRPr="003948BA" w:rsidRDefault="005E5B48">
      <w:pPr>
        <w:pStyle w:val="BodyText"/>
        <w:spacing w:before="6"/>
      </w:pPr>
    </w:p>
    <w:p w:rsidR="005E5B48" w:rsidRPr="003948BA" w:rsidRDefault="00814043" w:rsidP="00A002A6">
      <w:pPr>
        <w:pStyle w:val="Heading5"/>
        <w:numPr>
          <w:ilvl w:val="2"/>
          <w:numId w:val="39"/>
        </w:numPr>
        <w:tabs>
          <w:tab w:val="left" w:pos="1640"/>
          <w:tab w:val="left" w:pos="1641"/>
        </w:tabs>
      </w:pPr>
      <w:r w:rsidRPr="003948BA">
        <w:t>Remuneration of the Management</w:t>
      </w:r>
      <w:r w:rsidRPr="003948BA">
        <w:rPr>
          <w:spacing w:val="-10"/>
        </w:rPr>
        <w:t xml:space="preserve"> </w:t>
      </w:r>
      <w:r w:rsidRPr="003948BA">
        <w:t>Company</w:t>
      </w:r>
    </w:p>
    <w:p w:rsidR="005E5B48" w:rsidRPr="003948BA" w:rsidRDefault="005E5B48">
      <w:pPr>
        <w:pStyle w:val="BodyText"/>
        <w:spacing w:before="7"/>
        <w:rPr>
          <w:b/>
          <w:sz w:val="27"/>
        </w:rPr>
      </w:pPr>
    </w:p>
    <w:p w:rsidR="005E5B48" w:rsidRPr="003948BA" w:rsidRDefault="00814043">
      <w:pPr>
        <w:pStyle w:val="BodyText"/>
        <w:ind w:left="1640" w:right="1018"/>
        <w:jc w:val="both"/>
      </w:pPr>
      <w:r w:rsidRPr="003948BA">
        <w:t>The remuneration shall begin to accrue from the commencement of the Life of the Fund. In respect of any period other than an Annual Accounting Period, such remuneration shall be prorated on the basis of the actual number of days for which such remuneration has accrued in proportion to the total number of days in the Annual Accounting Period concerned.</w:t>
      </w:r>
    </w:p>
    <w:p w:rsidR="005E5B48" w:rsidRPr="003948BA" w:rsidRDefault="005E5B48">
      <w:pPr>
        <w:pStyle w:val="BodyText"/>
        <w:spacing w:before="11"/>
        <w:rPr>
          <w:sz w:val="27"/>
        </w:rPr>
      </w:pPr>
    </w:p>
    <w:p w:rsidR="005E5B48" w:rsidRPr="003948BA" w:rsidRDefault="00814043">
      <w:pPr>
        <w:pStyle w:val="BodyText"/>
        <w:ind w:left="1640" w:right="1011"/>
        <w:jc w:val="both"/>
      </w:pPr>
      <w:r w:rsidRPr="003948BA">
        <w:t xml:space="preserve">Current level Management Fee is disclosed in </w:t>
      </w:r>
      <w:r w:rsidRPr="003948BA">
        <w:rPr>
          <w:b/>
        </w:rPr>
        <w:t>Annexure “B”</w:t>
      </w:r>
      <w:r w:rsidRPr="003948BA">
        <w:t>. Any increase in the current level of Management Fee, provided it is with in the maximum limit prescribed in the Regulations shall be subject to giving a ninety (90) days prior notice to the unit holders and the unit holders shall be given an option to exit at the applicable NAV without charge of  any exit</w:t>
      </w:r>
      <w:r w:rsidRPr="003948BA">
        <w:rPr>
          <w:spacing w:val="-8"/>
        </w:rPr>
        <w:t xml:space="preserve"> </w:t>
      </w:r>
      <w:r w:rsidRPr="003948BA">
        <w:t>load.</w:t>
      </w:r>
    </w:p>
    <w:p w:rsidR="005E5B48" w:rsidRPr="003948BA" w:rsidRDefault="005E5B48">
      <w:pPr>
        <w:pStyle w:val="BodyText"/>
        <w:rPr>
          <w:sz w:val="22"/>
        </w:rPr>
      </w:pPr>
    </w:p>
    <w:p w:rsidR="005E5B48" w:rsidRPr="003948BA" w:rsidRDefault="005E5B48">
      <w:pPr>
        <w:pStyle w:val="BodyText"/>
        <w:spacing w:before="9"/>
      </w:pPr>
    </w:p>
    <w:p w:rsidR="005E5B48" w:rsidRPr="003948BA" w:rsidRDefault="00814043" w:rsidP="00A002A6">
      <w:pPr>
        <w:pStyle w:val="Heading5"/>
        <w:numPr>
          <w:ilvl w:val="2"/>
          <w:numId w:val="39"/>
        </w:numPr>
        <w:tabs>
          <w:tab w:val="left" w:pos="1640"/>
          <w:tab w:val="left" w:pos="1641"/>
        </w:tabs>
      </w:pPr>
      <w:r w:rsidRPr="003948BA">
        <w:t>Remuneration of the</w:t>
      </w:r>
      <w:r w:rsidRPr="003948BA">
        <w:rPr>
          <w:spacing w:val="-8"/>
        </w:rPr>
        <w:t xml:space="preserve"> </w:t>
      </w:r>
      <w:r w:rsidRPr="003948BA">
        <w:t>Trustee</w:t>
      </w:r>
    </w:p>
    <w:p w:rsidR="005E5B48" w:rsidRPr="003948BA" w:rsidRDefault="005E5B48">
      <w:pPr>
        <w:pStyle w:val="BodyText"/>
        <w:spacing w:before="6"/>
        <w:rPr>
          <w:b/>
          <w:sz w:val="27"/>
        </w:rPr>
      </w:pPr>
    </w:p>
    <w:p w:rsidR="005E5B48" w:rsidRPr="003948BA" w:rsidRDefault="00814043">
      <w:pPr>
        <w:pStyle w:val="BodyText"/>
        <w:spacing w:before="1"/>
        <w:ind w:left="1640" w:right="1013"/>
        <w:jc w:val="both"/>
      </w:pPr>
      <w:r w:rsidRPr="003948BA">
        <w:t>The Trustee shall be entitled to a monthly remuneration out of the Trust Property determined in accordance with Annexure “A”.</w:t>
      </w:r>
    </w:p>
    <w:p w:rsidR="005E5B48" w:rsidRPr="003948BA" w:rsidRDefault="005E5B48">
      <w:pPr>
        <w:pStyle w:val="BodyText"/>
        <w:spacing w:before="10"/>
        <w:rPr>
          <w:sz w:val="19"/>
        </w:rPr>
      </w:pPr>
    </w:p>
    <w:p w:rsidR="005E5B48" w:rsidRPr="003948BA" w:rsidRDefault="00814043">
      <w:pPr>
        <w:pStyle w:val="BodyText"/>
        <w:ind w:left="1640" w:right="1015"/>
        <w:jc w:val="both"/>
      </w:pPr>
      <w:r w:rsidRPr="003948BA">
        <w:t xml:space="preserve">The remuneration shall begin to accrue following the commencement of the Life of the </w:t>
      </w:r>
      <w:r w:rsidRPr="003948BA">
        <w:lastRenderedPageBreak/>
        <w:t>Fund. For any period other than an Annual Accounting Period such remuneration will be prorated on the basis of the actual number of days for which such remuneration has accrued in proportion to the total number of days in an Annual Accounting Period concerned. Any upward change in the remuneration of trustee from the existing level shall require prior approval of the Commission.</w:t>
      </w:r>
    </w:p>
    <w:p w:rsidR="005E5B48" w:rsidRPr="003948BA" w:rsidRDefault="005E5B48">
      <w:pPr>
        <w:pStyle w:val="BodyText"/>
        <w:spacing w:before="1"/>
        <w:rPr>
          <w:sz w:val="30"/>
        </w:rPr>
      </w:pPr>
    </w:p>
    <w:p w:rsidR="005A03AE" w:rsidRPr="003948BA" w:rsidRDefault="005A03AE">
      <w:pPr>
        <w:pStyle w:val="BodyText"/>
        <w:spacing w:before="1"/>
        <w:rPr>
          <w:sz w:val="30"/>
        </w:rPr>
      </w:pPr>
    </w:p>
    <w:p w:rsidR="005E5B48" w:rsidRPr="003948BA" w:rsidRDefault="00814043" w:rsidP="00A002A6">
      <w:pPr>
        <w:pStyle w:val="Heading5"/>
        <w:numPr>
          <w:ilvl w:val="1"/>
          <w:numId w:val="39"/>
        </w:numPr>
        <w:tabs>
          <w:tab w:val="left" w:pos="1640"/>
          <w:tab w:val="left" w:pos="1641"/>
        </w:tabs>
      </w:pPr>
      <w:bookmarkStart w:id="72" w:name="_bookmark62"/>
      <w:bookmarkEnd w:id="72"/>
      <w:r w:rsidRPr="003948BA">
        <w:t>Formation</w:t>
      </w:r>
      <w:r w:rsidRPr="003948BA">
        <w:rPr>
          <w:spacing w:val="-7"/>
        </w:rPr>
        <w:t xml:space="preserve"> </w:t>
      </w:r>
      <w:r w:rsidRPr="003948BA">
        <w:t>Costs</w:t>
      </w:r>
    </w:p>
    <w:p w:rsidR="005E5B48" w:rsidRPr="003948BA" w:rsidRDefault="005E5B48">
      <w:pPr>
        <w:pStyle w:val="BodyText"/>
        <w:spacing w:before="4"/>
        <w:rPr>
          <w:b/>
          <w:sz w:val="27"/>
        </w:rPr>
      </w:pPr>
    </w:p>
    <w:p w:rsidR="005E5B48" w:rsidRPr="003948BA" w:rsidRDefault="00814043">
      <w:pPr>
        <w:pStyle w:val="BodyText"/>
        <w:spacing w:before="1"/>
        <w:ind w:left="1640" w:right="1009"/>
        <w:jc w:val="both"/>
      </w:pPr>
      <w:r w:rsidRPr="003948BA">
        <w:t>All preliminary and floatation expenses of the Fund including expenses incurred in connection with the establishment and authorization of the Fund, including execution and registration of the Constitutive Documents, issue, legal costs, printing, circulation and publication of the Offering Document, and all expenses incurred during and up to the Initial Offering Period subject to a maximum of one per cent of pre-IPO capital of the Fund or Rupees five million, whichever is lower, shall be borne by the Fund subject to the audit of expenses and amortized over a period of not less than five years or within the maturity of the Fund whichever is lower. This cost shall be reimbursable by a collective investment scheme to an AMC subject to the audit of expenses. The Formation Cost shall be reported</w:t>
      </w:r>
    </w:p>
    <w:p w:rsidR="005E5B48" w:rsidRPr="003948BA" w:rsidRDefault="00814043">
      <w:pPr>
        <w:pStyle w:val="BodyText"/>
        <w:ind w:left="1640" w:right="1007"/>
        <w:jc w:val="both"/>
      </w:pPr>
      <w:r w:rsidRPr="003948BA">
        <w:t>by the Management Company to the Commission and the Trustee giving their break-up under separate heads, as soon as the distribution of the securities is completed. Formation cost will be shared by the allocation plans available at the time of initial offering of the Fund.</w:t>
      </w:r>
    </w:p>
    <w:p w:rsidR="005E5B48" w:rsidRPr="003948BA" w:rsidRDefault="005E5B48">
      <w:pPr>
        <w:pStyle w:val="BodyText"/>
        <w:spacing w:before="7"/>
        <w:rPr>
          <w:sz w:val="31"/>
        </w:rPr>
      </w:pPr>
    </w:p>
    <w:p w:rsidR="005E5B48" w:rsidRPr="003948BA" w:rsidRDefault="00814043" w:rsidP="00A002A6">
      <w:pPr>
        <w:pStyle w:val="Heading5"/>
        <w:numPr>
          <w:ilvl w:val="1"/>
          <w:numId w:val="39"/>
        </w:numPr>
        <w:tabs>
          <w:tab w:val="left" w:pos="1640"/>
          <w:tab w:val="left" w:pos="1641"/>
        </w:tabs>
        <w:spacing w:before="1"/>
      </w:pPr>
      <w:bookmarkStart w:id="73" w:name="_bookmark63"/>
      <w:bookmarkEnd w:id="73"/>
      <w:r w:rsidRPr="003948BA">
        <w:t>Other costs and</w:t>
      </w:r>
      <w:r w:rsidRPr="003948BA">
        <w:rPr>
          <w:spacing w:val="-7"/>
        </w:rPr>
        <w:t xml:space="preserve"> </w:t>
      </w:r>
      <w:r w:rsidRPr="003948BA">
        <w:t>expenses</w:t>
      </w:r>
    </w:p>
    <w:p w:rsidR="005E5B48" w:rsidRPr="003948BA" w:rsidRDefault="005E5B48">
      <w:pPr>
        <w:pStyle w:val="BodyText"/>
        <w:spacing w:before="6"/>
        <w:rPr>
          <w:b/>
          <w:sz w:val="27"/>
        </w:rPr>
      </w:pPr>
    </w:p>
    <w:p w:rsidR="005E5B48" w:rsidRPr="003948BA" w:rsidRDefault="00814043">
      <w:pPr>
        <w:pStyle w:val="BodyText"/>
        <w:ind w:left="1640"/>
        <w:jc w:val="both"/>
      </w:pPr>
      <w:r w:rsidRPr="003948BA">
        <w:t>The following charges shall also be payable out of the Fund Property</w:t>
      </w:r>
    </w:p>
    <w:p w:rsidR="005E5B48" w:rsidRPr="003948BA" w:rsidRDefault="005E5B48">
      <w:pPr>
        <w:pStyle w:val="BodyText"/>
        <w:spacing w:before="1"/>
      </w:pPr>
    </w:p>
    <w:p w:rsidR="005E5B48" w:rsidRPr="003948BA" w:rsidRDefault="00814043" w:rsidP="00A002A6">
      <w:pPr>
        <w:pStyle w:val="ListParagraph"/>
        <w:numPr>
          <w:ilvl w:val="0"/>
          <w:numId w:val="8"/>
        </w:numPr>
        <w:tabs>
          <w:tab w:val="left" w:pos="2271"/>
          <w:tab w:val="left" w:pos="2272"/>
        </w:tabs>
        <w:ind w:right="1309" w:hanging="451"/>
        <w:rPr>
          <w:sz w:val="20"/>
        </w:rPr>
      </w:pPr>
      <w:r w:rsidRPr="003948BA">
        <w:rPr>
          <w:sz w:val="20"/>
        </w:rPr>
        <w:t>Custody, Brokerage, Transaction Costs of investing and disinvesting of the Fund Property.</w:t>
      </w:r>
    </w:p>
    <w:p w:rsidR="005E5B48" w:rsidRPr="003948BA" w:rsidRDefault="00814043" w:rsidP="00A002A6">
      <w:pPr>
        <w:pStyle w:val="ListParagraph"/>
        <w:numPr>
          <w:ilvl w:val="0"/>
          <w:numId w:val="8"/>
        </w:numPr>
        <w:tabs>
          <w:tab w:val="left" w:pos="2271"/>
          <w:tab w:val="left" w:pos="2272"/>
        </w:tabs>
        <w:ind w:right="1198" w:hanging="451"/>
        <w:rPr>
          <w:sz w:val="20"/>
        </w:rPr>
      </w:pPr>
      <w:r w:rsidRPr="003948BA">
        <w:rPr>
          <w:sz w:val="20"/>
        </w:rPr>
        <w:t xml:space="preserve">All expenses incurred by the Trustee in effecting the registration of all registerable property in the </w:t>
      </w:r>
      <w:r w:rsidR="00207F45" w:rsidRPr="003948BA">
        <w:rPr>
          <w:sz w:val="20"/>
        </w:rPr>
        <w:t>Trustee’s</w:t>
      </w:r>
      <w:r w:rsidRPr="003948BA">
        <w:rPr>
          <w:spacing w:val="-13"/>
          <w:sz w:val="20"/>
        </w:rPr>
        <w:t xml:space="preserve"> </w:t>
      </w:r>
      <w:r w:rsidRPr="003948BA">
        <w:rPr>
          <w:sz w:val="20"/>
        </w:rPr>
        <w:t>name.</w:t>
      </w:r>
    </w:p>
    <w:p w:rsidR="005E5B48" w:rsidRPr="003948BA" w:rsidRDefault="00814043" w:rsidP="00A002A6">
      <w:pPr>
        <w:pStyle w:val="ListParagraph"/>
        <w:numPr>
          <w:ilvl w:val="0"/>
          <w:numId w:val="8"/>
        </w:numPr>
        <w:tabs>
          <w:tab w:val="left" w:pos="2272"/>
        </w:tabs>
        <w:ind w:right="1111" w:hanging="451"/>
        <w:rPr>
          <w:sz w:val="20"/>
        </w:rPr>
      </w:pPr>
      <w:r w:rsidRPr="003948BA">
        <w:rPr>
          <w:sz w:val="20"/>
        </w:rPr>
        <w:t>Legal and related costs incurred in protecting or enhancing the interests of the Unit Holders.</w:t>
      </w:r>
    </w:p>
    <w:p w:rsidR="005E5B48" w:rsidRPr="003948BA" w:rsidRDefault="00814043" w:rsidP="00A002A6">
      <w:pPr>
        <w:pStyle w:val="ListParagraph"/>
        <w:numPr>
          <w:ilvl w:val="0"/>
          <w:numId w:val="8"/>
        </w:numPr>
        <w:tabs>
          <w:tab w:val="left" w:pos="2272"/>
        </w:tabs>
        <w:spacing w:line="228" w:lineRule="exact"/>
        <w:ind w:hanging="451"/>
        <w:rPr>
          <w:sz w:val="20"/>
        </w:rPr>
      </w:pPr>
      <w:r w:rsidRPr="003948BA">
        <w:rPr>
          <w:sz w:val="20"/>
        </w:rPr>
        <w:t xml:space="preserve">Bank charges, </w:t>
      </w:r>
      <w:r w:rsidR="00224431" w:rsidRPr="003948BA">
        <w:rPr>
          <w:sz w:val="20"/>
        </w:rPr>
        <w:t>financing</w:t>
      </w:r>
      <w:r w:rsidRPr="003948BA">
        <w:rPr>
          <w:sz w:val="20"/>
        </w:rPr>
        <w:t xml:space="preserve"> and financial</w:t>
      </w:r>
      <w:r w:rsidRPr="003948BA">
        <w:rPr>
          <w:spacing w:val="-16"/>
          <w:sz w:val="20"/>
        </w:rPr>
        <w:t xml:space="preserve"> </w:t>
      </w:r>
      <w:r w:rsidRPr="003948BA">
        <w:rPr>
          <w:sz w:val="20"/>
        </w:rPr>
        <w:t>costs;</w:t>
      </w:r>
    </w:p>
    <w:p w:rsidR="005E5B48" w:rsidRPr="003948BA" w:rsidRDefault="00814043" w:rsidP="00A002A6">
      <w:pPr>
        <w:pStyle w:val="ListParagraph"/>
        <w:numPr>
          <w:ilvl w:val="0"/>
          <w:numId w:val="8"/>
        </w:numPr>
        <w:tabs>
          <w:tab w:val="left" w:pos="2271"/>
          <w:tab w:val="left" w:pos="2272"/>
        </w:tabs>
        <w:spacing w:line="229" w:lineRule="exact"/>
        <w:ind w:hanging="451"/>
        <w:rPr>
          <w:sz w:val="20"/>
        </w:rPr>
      </w:pPr>
      <w:r w:rsidRPr="003948BA">
        <w:rPr>
          <w:sz w:val="20"/>
        </w:rPr>
        <w:t>Auditors' Fees and out of pocket</w:t>
      </w:r>
      <w:r w:rsidRPr="003948BA">
        <w:rPr>
          <w:spacing w:val="-6"/>
          <w:sz w:val="20"/>
        </w:rPr>
        <w:t xml:space="preserve"> </w:t>
      </w:r>
      <w:r w:rsidRPr="003948BA">
        <w:rPr>
          <w:sz w:val="20"/>
        </w:rPr>
        <w:t>expenses.</w:t>
      </w:r>
    </w:p>
    <w:p w:rsidR="005E5B48" w:rsidRPr="003948BA" w:rsidRDefault="00814043" w:rsidP="00A002A6">
      <w:pPr>
        <w:pStyle w:val="ListParagraph"/>
        <w:numPr>
          <w:ilvl w:val="0"/>
          <w:numId w:val="8"/>
        </w:numPr>
        <w:tabs>
          <w:tab w:val="left" w:pos="2272"/>
        </w:tabs>
        <w:ind w:right="1408" w:hanging="451"/>
        <w:rPr>
          <w:sz w:val="20"/>
        </w:rPr>
      </w:pPr>
      <w:r w:rsidRPr="003948BA">
        <w:rPr>
          <w:sz w:val="20"/>
        </w:rPr>
        <w:t>printing</w:t>
      </w:r>
      <w:r w:rsidRPr="003948BA">
        <w:rPr>
          <w:spacing w:val="-8"/>
          <w:sz w:val="20"/>
        </w:rPr>
        <w:t xml:space="preserve"> </w:t>
      </w:r>
      <w:r w:rsidRPr="003948BA">
        <w:rPr>
          <w:sz w:val="20"/>
        </w:rPr>
        <w:t>costs</w:t>
      </w:r>
      <w:r w:rsidRPr="003948BA">
        <w:rPr>
          <w:spacing w:val="-7"/>
          <w:sz w:val="20"/>
        </w:rPr>
        <w:t xml:space="preserve"> </w:t>
      </w:r>
      <w:r w:rsidRPr="003948BA">
        <w:rPr>
          <w:sz w:val="20"/>
        </w:rPr>
        <w:t>and</w:t>
      </w:r>
      <w:r w:rsidRPr="003948BA">
        <w:rPr>
          <w:spacing w:val="-8"/>
          <w:sz w:val="20"/>
        </w:rPr>
        <w:t xml:space="preserve"> </w:t>
      </w:r>
      <w:r w:rsidRPr="003948BA">
        <w:rPr>
          <w:sz w:val="20"/>
        </w:rPr>
        <w:t>related</w:t>
      </w:r>
      <w:r w:rsidRPr="003948BA">
        <w:rPr>
          <w:spacing w:val="-7"/>
          <w:sz w:val="20"/>
        </w:rPr>
        <w:t xml:space="preserve"> </w:t>
      </w:r>
      <w:r w:rsidRPr="003948BA">
        <w:rPr>
          <w:sz w:val="20"/>
        </w:rPr>
        <w:t>expenses</w:t>
      </w:r>
      <w:r w:rsidRPr="003948BA">
        <w:rPr>
          <w:spacing w:val="-7"/>
          <w:sz w:val="20"/>
        </w:rPr>
        <w:t xml:space="preserve"> </w:t>
      </w:r>
      <w:r w:rsidRPr="003948BA">
        <w:rPr>
          <w:sz w:val="20"/>
        </w:rPr>
        <w:t>for</w:t>
      </w:r>
      <w:r w:rsidRPr="003948BA">
        <w:rPr>
          <w:spacing w:val="-8"/>
          <w:sz w:val="20"/>
        </w:rPr>
        <w:t xml:space="preserve"> </w:t>
      </w:r>
      <w:r w:rsidRPr="003948BA">
        <w:rPr>
          <w:sz w:val="20"/>
        </w:rPr>
        <w:t>issuing</w:t>
      </w:r>
      <w:r w:rsidRPr="003948BA">
        <w:rPr>
          <w:spacing w:val="-6"/>
          <w:sz w:val="20"/>
        </w:rPr>
        <w:t xml:space="preserve"> </w:t>
      </w:r>
      <w:proofErr w:type="spellStart"/>
      <w:r w:rsidRPr="003948BA">
        <w:rPr>
          <w:sz w:val="20"/>
        </w:rPr>
        <w:t>Fund‟s</w:t>
      </w:r>
      <w:proofErr w:type="spellEnd"/>
      <w:r w:rsidRPr="003948BA">
        <w:rPr>
          <w:spacing w:val="-5"/>
          <w:sz w:val="20"/>
        </w:rPr>
        <w:t xml:space="preserve"> </w:t>
      </w:r>
      <w:r w:rsidRPr="003948BA">
        <w:rPr>
          <w:sz w:val="20"/>
        </w:rPr>
        <w:t>quarterly,</w:t>
      </w:r>
      <w:r w:rsidRPr="003948BA">
        <w:rPr>
          <w:spacing w:val="-6"/>
          <w:sz w:val="20"/>
        </w:rPr>
        <w:t xml:space="preserve"> </w:t>
      </w:r>
      <w:r w:rsidRPr="003948BA">
        <w:rPr>
          <w:sz w:val="20"/>
        </w:rPr>
        <w:t>half</w:t>
      </w:r>
      <w:r w:rsidRPr="003948BA">
        <w:rPr>
          <w:spacing w:val="-4"/>
          <w:sz w:val="20"/>
        </w:rPr>
        <w:t xml:space="preserve"> </w:t>
      </w:r>
      <w:r w:rsidRPr="003948BA">
        <w:rPr>
          <w:sz w:val="20"/>
        </w:rPr>
        <w:t>yearly</w:t>
      </w:r>
      <w:r w:rsidRPr="003948BA">
        <w:rPr>
          <w:spacing w:val="-8"/>
          <w:sz w:val="20"/>
        </w:rPr>
        <w:t xml:space="preserve"> </w:t>
      </w:r>
      <w:r w:rsidRPr="003948BA">
        <w:rPr>
          <w:sz w:val="20"/>
        </w:rPr>
        <w:t>and annual</w:t>
      </w:r>
      <w:r w:rsidRPr="003948BA">
        <w:rPr>
          <w:spacing w:val="-8"/>
          <w:sz w:val="20"/>
        </w:rPr>
        <w:t xml:space="preserve"> </w:t>
      </w:r>
      <w:r w:rsidRPr="003948BA">
        <w:rPr>
          <w:sz w:val="20"/>
        </w:rPr>
        <w:t>reports</w:t>
      </w:r>
    </w:p>
    <w:p w:rsidR="005E5B48" w:rsidRPr="003948BA" w:rsidRDefault="00814043" w:rsidP="00A002A6">
      <w:pPr>
        <w:pStyle w:val="ListParagraph"/>
        <w:numPr>
          <w:ilvl w:val="0"/>
          <w:numId w:val="8"/>
        </w:numPr>
        <w:tabs>
          <w:tab w:val="left" w:pos="2272"/>
        </w:tabs>
        <w:spacing w:before="3" w:line="229" w:lineRule="exact"/>
        <w:ind w:hanging="451"/>
        <w:rPr>
          <w:sz w:val="20"/>
        </w:rPr>
      </w:pPr>
      <w:r w:rsidRPr="003948BA">
        <w:rPr>
          <w:sz w:val="20"/>
        </w:rPr>
        <w:t>Fund rating fee payable to approved rating</w:t>
      </w:r>
      <w:r w:rsidRPr="003948BA">
        <w:rPr>
          <w:spacing w:val="-23"/>
          <w:sz w:val="20"/>
        </w:rPr>
        <w:t xml:space="preserve"> </w:t>
      </w:r>
      <w:r w:rsidRPr="003948BA">
        <w:rPr>
          <w:sz w:val="20"/>
        </w:rPr>
        <w:t>agency.</w:t>
      </w:r>
    </w:p>
    <w:p w:rsidR="005E5B48" w:rsidRPr="003948BA" w:rsidRDefault="00814043" w:rsidP="00A002A6">
      <w:pPr>
        <w:pStyle w:val="ListParagraph"/>
        <w:numPr>
          <w:ilvl w:val="0"/>
          <w:numId w:val="8"/>
        </w:numPr>
        <w:tabs>
          <w:tab w:val="left" w:pos="2272"/>
        </w:tabs>
        <w:ind w:right="1339" w:hanging="451"/>
        <w:rPr>
          <w:sz w:val="20"/>
        </w:rPr>
      </w:pPr>
      <w:r w:rsidRPr="003948BA">
        <w:rPr>
          <w:sz w:val="20"/>
        </w:rPr>
        <w:t>Listing Fee including renewals payable to the Stock Exchange(s) on which Units may be</w:t>
      </w:r>
      <w:r w:rsidRPr="003948BA">
        <w:rPr>
          <w:spacing w:val="-9"/>
          <w:sz w:val="20"/>
        </w:rPr>
        <w:t xml:space="preserve"> </w:t>
      </w:r>
      <w:r w:rsidRPr="003948BA">
        <w:rPr>
          <w:sz w:val="20"/>
        </w:rPr>
        <w:t>listed</w:t>
      </w:r>
    </w:p>
    <w:p w:rsidR="005E5B48" w:rsidRPr="003948BA" w:rsidRDefault="00814043" w:rsidP="00A002A6">
      <w:pPr>
        <w:pStyle w:val="ListParagraph"/>
        <w:numPr>
          <w:ilvl w:val="0"/>
          <w:numId w:val="8"/>
        </w:numPr>
        <w:tabs>
          <w:tab w:val="left" w:pos="2272"/>
        </w:tabs>
        <w:spacing w:line="226" w:lineRule="exact"/>
        <w:ind w:hanging="451"/>
        <w:rPr>
          <w:sz w:val="20"/>
        </w:rPr>
      </w:pPr>
      <w:r w:rsidRPr="003948BA">
        <w:rPr>
          <w:sz w:val="20"/>
        </w:rPr>
        <w:t>Fee pertaining to the Fund payable to the</w:t>
      </w:r>
      <w:r w:rsidRPr="003948BA">
        <w:rPr>
          <w:spacing w:val="-20"/>
          <w:sz w:val="20"/>
        </w:rPr>
        <w:t xml:space="preserve"> </w:t>
      </w:r>
      <w:r w:rsidRPr="003948BA">
        <w:rPr>
          <w:sz w:val="20"/>
        </w:rPr>
        <w:t>Commission.</w:t>
      </w:r>
    </w:p>
    <w:p w:rsidR="005E5B48" w:rsidRPr="003948BA" w:rsidRDefault="00814043" w:rsidP="00A002A6">
      <w:pPr>
        <w:pStyle w:val="ListParagraph"/>
        <w:numPr>
          <w:ilvl w:val="0"/>
          <w:numId w:val="8"/>
        </w:numPr>
        <w:tabs>
          <w:tab w:val="left" w:pos="2272"/>
        </w:tabs>
        <w:spacing w:before="2"/>
        <w:ind w:right="1007" w:hanging="451"/>
        <w:jc w:val="both"/>
        <w:rPr>
          <w:sz w:val="20"/>
        </w:rPr>
      </w:pPr>
      <w:r w:rsidRPr="003948BA">
        <w:rPr>
          <w:sz w:val="20"/>
        </w:rPr>
        <w:t>Taxes, fees, , duties if any, applicable to the Fund and on its income, turnover and/or its properties including the Sales Tax levied on Services offered by Asset Management Company (for management of</w:t>
      </w:r>
      <w:r w:rsidRPr="003948BA">
        <w:rPr>
          <w:spacing w:val="-13"/>
          <w:sz w:val="20"/>
        </w:rPr>
        <w:t xml:space="preserve"> </w:t>
      </w:r>
      <w:r w:rsidRPr="003948BA">
        <w:rPr>
          <w:sz w:val="20"/>
        </w:rPr>
        <w:t>Fund).</w:t>
      </w:r>
    </w:p>
    <w:p w:rsidR="005E5B48" w:rsidRPr="003948BA" w:rsidRDefault="00814043" w:rsidP="00A002A6">
      <w:pPr>
        <w:pStyle w:val="ListParagraph"/>
        <w:numPr>
          <w:ilvl w:val="0"/>
          <w:numId w:val="8"/>
        </w:numPr>
        <w:tabs>
          <w:tab w:val="left" w:pos="2272"/>
        </w:tabs>
        <w:spacing w:line="226" w:lineRule="exact"/>
        <w:ind w:hanging="451"/>
        <w:rPr>
          <w:sz w:val="20"/>
        </w:rPr>
      </w:pPr>
      <w:r w:rsidRPr="003948BA">
        <w:rPr>
          <w:sz w:val="20"/>
        </w:rPr>
        <w:t>Charges and levies of stock exchanges, national clearing and settlement</w:t>
      </w:r>
      <w:r w:rsidRPr="003948BA">
        <w:rPr>
          <w:spacing w:val="46"/>
          <w:sz w:val="20"/>
        </w:rPr>
        <w:t xml:space="preserve"> </w:t>
      </w:r>
      <w:r w:rsidRPr="003948BA">
        <w:rPr>
          <w:sz w:val="20"/>
        </w:rPr>
        <w:t>company,</w:t>
      </w:r>
    </w:p>
    <w:p w:rsidR="005E5B48" w:rsidRPr="003948BA" w:rsidRDefault="00814043">
      <w:pPr>
        <w:pStyle w:val="BodyText"/>
        <w:ind w:left="2271"/>
      </w:pPr>
      <w:r w:rsidRPr="003948BA">
        <w:t>Trustee charges</w:t>
      </w:r>
    </w:p>
    <w:p w:rsidR="005E5B48" w:rsidRPr="003948BA" w:rsidRDefault="00814043" w:rsidP="00A002A6">
      <w:pPr>
        <w:pStyle w:val="ListParagraph"/>
        <w:numPr>
          <w:ilvl w:val="0"/>
          <w:numId w:val="8"/>
        </w:numPr>
        <w:tabs>
          <w:tab w:val="left" w:pos="2272"/>
        </w:tabs>
        <w:spacing w:before="76"/>
        <w:ind w:right="1131" w:hanging="451"/>
        <w:rPr>
          <w:sz w:val="20"/>
        </w:rPr>
      </w:pPr>
      <w:r w:rsidRPr="003948BA">
        <w:rPr>
          <w:sz w:val="20"/>
        </w:rPr>
        <w:t xml:space="preserve">Any amount which the Shariah Advisor may declare to be Haram and to be paid to </w:t>
      </w:r>
      <w:r w:rsidR="002B20D6" w:rsidRPr="003948BA">
        <w:rPr>
          <w:sz w:val="20"/>
        </w:rPr>
        <w:t xml:space="preserve">approved </w:t>
      </w:r>
      <w:r w:rsidRPr="003948BA">
        <w:rPr>
          <w:sz w:val="20"/>
        </w:rPr>
        <w:t>Charity</w:t>
      </w:r>
      <w:r w:rsidR="002B20D6" w:rsidRPr="003948BA">
        <w:rPr>
          <w:sz w:val="20"/>
        </w:rPr>
        <w:t xml:space="preserve"> institution.</w:t>
      </w:r>
    </w:p>
    <w:p w:rsidR="005E5B48" w:rsidRPr="003948BA" w:rsidRDefault="00814043" w:rsidP="00A002A6">
      <w:pPr>
        <w:pStyle w:val="ListParagraph"/>
        <w:numPr>
          <w:ilvl w:val="0"/>
          <w:numId w:val="8"/>
        </w:numPr>
        <w:tabs>
          <w:tab w:val="left" w:pos="2272"/>
        </w:tabs>
        <w:spacing w:before="5"/>
        <w:ind w:right="1240" w:hanging="451"/>
        <w:rPr>
          <w:sz w:val="20"/>
        </w:rPr>
      </w:pPr>
      <w:r w:rsidRPr="003948BA">
        <w:rPr>
          <w:sz w:val="20"/>
        </w:rPr>
        <w:t>Any other expenses as permissible under the Rules and Regulations from time to time and / or permitted by the</w:t>
      </w:r>
      <w:r w:rsidRPr="003948BA">
        <w:rPr>
          <w:spacing w:val="-18"/>
          <w:sz w:val="20"/>
        </w:rPr>
        <w:t xml:space="preserve"> </w:t>
      </w:r>
      <w:r w:rsidRPr="003948BA">
        <w:rPr>
          <w:sz w:val="20"/>
        </w:rPr>
        <w:t>Commission.</w:t>
      </w:r>
    </w:p>
    <w:p w:rsidR="005E5B48" w:rsidRPr="003948BA" w:rsidRDefault="005E5B48">
      <w:pPr>
        <w:pStyle w:val="BodyText"/>
        <w:spacing w:before="10"/>
        <w:rPr>
          <w:sz w:val="19"/>
        </w:rPr>
      </w:pPr>
    </w:p>
    <w:p w:rsidR="005E5B48" w:rsidRPr="003948BA" w:rsidRDefault="00814043" w:rsidP="00A002A6">
      <w:pPr>
        <w:pStyle w:val="Heading5"/>
        <w:numPr>
          <w:ilvl w:val="1"/>
          <w:numId w:val="39"/>
        </w:numPr>
        <w:tabs>
          <w:tab w:val="left" w:pos="1276"/>
        </w:tabs>
        <w:spacing w:before="1"/>
        <w:ind w:left="1275" w:hanging="403"/>
        <w:rPr>
          <w:sz w:val="18"/>
        </w:rPr>
      </w:pPr>
      <w:r w:rsidRPr="003948BA">
        <w:t>Expense</w:t>
      </w:r>
      <w:r w:rsidRPr="003948BA">
        <w:rPr>
          <w:spacing w:val="-2"/>
        </w:rPr>
        <w:t xml:space="preserve"> </w:t>
      </w:r>
      <w:r w:rsidRPr="003948BA">
        <w:t>Ratio</w:t>
      </w:r>
    </w:p>
    <w:p w:rsidR="005E5B48" w:rsidRPr="003948BA" w:rsidRDefault="005E5B48">
      <w:pPr>
        <w:pStyle w:val="BodyText"/>
        <w:spacing w:before="1"/>
        <w:rPr>
          <w:b/>
          <w:sz w:val="22"/>
        </w:rPr>
      </w:pPr>
    </w:p>
    <w:p w:rsidR="005E5B48" w:rsidRPr="003948BA" w:rsidRDefault="00814043">
      <w:pPr>
        <w:pStyle w:val="BodyText"/>
        <w:ind w:left="1681" w:right="998"/>
        <w:jc w:val="both"/>
      </w:pPr>
      <w:r w:rsidRPr="003948BA">
        <w:t>The expense ratio shall be in line with the limits assigned to the Fund-of-Funds category in the Non-Banking Finance Companies Regulations, and as defined by the Commission from time to time.</w:t>
      </w:r>
    </w:p>
    <w:p w:rsidR="005E5B48" w:rsidRPr="003948BA" w:rsidRDefault="005E5B48">
      <w:pPr>
        <w:pStyle w:val="BodyText"/>
        <w:rPr>
          <w:sz w:val="22"/>
        </w:rPr>
      </w:pPr>
    </w:p>
    <w:p w:rsidR="005E5B48" w:rsidRPr="003948BA" w:rsidRDefault="00814043" w:rsidP="00A002A6">
      <w:pPr>
        <w:pStyle w:val="Heading2"/>
        <w:numPr>
          <w:ilvl w:val="0"/>
          <w:numId w:val="39"/>
        </w:numPr>
        <w:tabs>
          <w:tab w:val="left" w:pos="1352"/>
          <w:tab w:val="left" w:pos="1353"/>
        </w:tabs>
        <w:ind w:left="1352"/>
        <w:jc w:val="left"/>
      </w:pPr>
      <w:bookmarkStart w:id="74" w:name="_bookmark64"/>
      <w:bookmarkEnd w:id="74"/>
      <w:r w:rsidRPr="003948BA">
        <w:t>TAXATION</w:t>
      </w:r>
    </w:p>
    <w:p w:rsidR="005E5B48" w:rsidRPr="003948BA" w:rsidRDefault="005E5B48">
      <w:pPr>
        <w:pStyle w:val="BodyText"/>
        <w:spacing w:before="5"/>
        <w:rPr>
          <w:b/>
          <w:sz w:val="32"/>
        </w:rPr>
      </w:pPr>
    </w:p>
    <w:p w:rsidR="005E5B48" w:rsidRPr="003948BA" w:rsidRDefault="00814043" w:rsidP="00A002A6">
      <w:pPr>
        <w:pStyle w:val="Heading5"/>
        <w:numPr>
          <w:ilvl w:val="1"/>
          <w:numId w:val="39"/>
        </w:numPr>
        <w:tabs>
          <w:tab w:val="left" w:pos="1640"/>
          <w:tab w:val="left" w:pos="1641"/>
        </w:tabs>
      </w:pPr>
      <w:bookmarkStart w:id="75" w:name="_bookmark65"/>
      <w:bookmarkEnd w:id="75"/>
      <w:r w:rsidRPr="003948BA">
        <w:lastRenderedPageBreak/>
        <w:t>Taxation on the Income of the</w:t>
      </w:r>
      <w:r w:rsidRPr="003948BA">
        <w:rPr>
          <w:spacing w:val="-12"/>
        </w:rPr>
        <w:t xml:space="preserve"> </w:t>
      </w:r>
      <w:r w:rsidRPr="003948BA">
        <w:t>Fund</w:t>
      </w:r>
    </w:p>
    <w:p w:rsidR="005E5B48" w:rsidRPr="003948BA" w:rsidRDefault="005E5B48">
      <w:pPr>
        <w:pStyle w:val="BodyText"/>
        <w:spacing w:before="11"/>
        <w:rPr>
          <w:b/>
        </w:rPr>
      </w:pPr>
    </w:p>
    <w:p w:rsidR="005E5B48" w:rsidRPr="003948BA" w:rsidRDefault="00814043" w:rsidP="00A002A6">
      <w:pPr>
        <w:pStyle w:val="ListParagraph"/>
        <w:numPr>
          <w:ilvl w:val="2"/>
          <w:numId w:val="39"/>
        </w:numPr>
        <w:tabs>
          <w:tab w:val="left" w:pos="1640"/>
          <w:tab w:val="left" w:pos="1641"/>
        </w:tabs>
        <w:rPr>
          <w:b/>
          <w:sz w:val="20"/>
        </w:rPr>
      </w:pPr>
      <w:r w:rsidRPr="003948BA">
        <w:rPr>
          <w:b/>
          <w:sz w:val="20"/>
        </w:rPr>
        <w:t>Liability for Income</w:t>
      </w:r>
      <w:r w:rsidRPr="003948BA">
        <w:rPr>
          <w:b/>
          <w:spacing w:val="-11"/>
          <w:sz w:val="20"/>
        </w:rPr>
        <w:t xml:space="preserve"> </w:t>
      </w:r>
      <w:r w:rsidRPr="003948BA">
        <w:rPr>
          <w:b/>
          <w:sz w:val="20"/>
        </w:rPr>
        <w:t>Tax</w:t>
      </w:r>
    </w:p>
    <w:p w:rsidR="005E5B48" w:rsidRPr="003948BA" w:rsidRDefault="00814043">
      <w:pPr>
        <w:pStyle w:val="BodyText"/>
        <w:spacing w:before="63"/>
        <w:ind w:left="1640" w:right="1014"/>
        <w:jc w:val="both"/>
      </w:pPr>
      <w:r w:rsidRPr="003948BA">
        <w:t>The following is a brief description of the Income Tax Ordinance, 2001, applicable in respect of the Fund. This section is for advice only and potential investors should consult their tax experts for their liability with respect to taxation on income from investment in the Fund. This part does not cover tax liability of non-Pakistani resident investors with respect to taxes in their own jurisdiction.</w:t>
      </w:r>
    </w:p>
    <w:p w:rsidR="005E5B48" w:rsidRPr="003948BA" w:rsidRDefault="005E5B48">
      <w:pPr>
        <w:pStyle w:val="BodyText"/>
        <w:spacing w:before="9"/>
        <w:rPr>
          <w:sz w:val="19"/>
        </w:rPr>
      </w:pPr>
    </w:p>
    <w:p w:rsidR="005E5B48" w:rsidRPr="003948BA" w:rsidRDefault="00814043">
      <w:pPr>
        <w:pStyle w:val="BodyText"/>
        <w:ind w:left="1640" w:right="1014"/>
        <w:jc w:val="both"/>
      </w:pPr>
      <w:r w:rsidRPr="003948BA">
        <w:t>Under the Tax Law in Pakistan, the definition of a public company includes a trust formed under any law for the time being in force. The Fund will be regarded as a public company liable to a tax rate applicable to a public company.</w:t>
      </w:r>
    </w:p>
    <w:p w:rsidR="005E5B48" w:rsidRPr="003948BA" w:rsidRDefault="00814043">
      <w:pPr>
        <w:pStyle w:val="BodyText"/>
        <w:spacing w:before="119" w:line="229" w:lineRule="exact"/>
        <w:ind w:left="1640"/>
        <w:jc w:val="both"/>
      </w:pPr>
      <w:r w:rsidRPr="003948BA">
        <w:t>The income of the Fund will accordingly be taxed at the following rates:</w:t>
      </w:r>
    </w:p>
    <w:p w:rsidR="005E5B48" w:rsidRPr="003948BA" w:rsidRDefault="00814043" w:rsidP="00A002A6">
      <w:pPr>
        <w:pStyle w:val="ListParagraph"/>
        <w:numPr>
          <w:ilvl w:val="0"/>
          <w:numId w:val="7"/>
        </w:numPr>
        <w:tabs>
          <w:tab w:val="left" w:pos="2271"/>
          <w:tab w:val="left" w:pos="2272"/>
        </w:tabs>
        <w:spacing w:line="229" w:lineRule="exact"/>
        <w:ind w:hanging="451"/>
        <w:rPr>
          <w:sz w:val="20"/>
        </w:rPr>
      </w:pPr>
      <w:r w:rsidRPr="003948BA">
        <w:rPr>
          <w:sz w:val="20"/>
        </w:rPr>
        <w:t>Dividend income as applicable according to the relevant</w:t>
      </w:r>
      <w:r w:rsidRPr="003948BA">
        <w:rPr>
          <w:spacing w:val="-12"/>
          <w:sz w:val="20"/>
        </w:rPr>
        <w:t xml:space="preserve"> </w:t>
      </w:r>
      <w:r w:rsidRPr="003948BA">
        <w:rPr>
          <w:sz w:val="20"/>
        </w:rPr>
        <w:t>law;</w:t>
      </w:r>
    </w:p>
    <w:p w:rsidR="005E5B48" w:rsidRPr="003948BA" w:rsidRDefault="00814043" w:rsidP="00A002A6">
      <w:pPr>
        <w:pStyle w:val="ListParagraph"/>
        <w:numPr>
          <w:ilvl w:val="0"/>
          <w:numId w:val="7"/>
        </w:numPr>
        <w:tabs>
          <w:tab w:val="left" w:pos="2271"/>
          <w:tab w:val="left" w:pos="2272"/>
        </w:tabs>
        <w:ind w:hanging="451"/>
        <w:rPr>
          <w:sz w:val="20"/>
        </w:rPr>
      </w:pPr>
      <w:r w:rsidRPr="003948BA">
        <w:rPr>
          <w:sz w:val="20"/>
        </w:rPr>
        <w:t>Capital Gains Tax as applicable according to the relevant</w:t>
      </w:r>
      <w:r w:rsidRPr="003948BA">
        <w:rPr>
          <w:spacing w:val="-15"/>
          <w:sz w:val="20"/>
        </w:rPr>
        <w:t xml:space="preserve"> </w:t>
      </w:r>
      <w:r w:rsidRPr="003948BA">
        <w:rPr>
          <w:sz w:val="20"/>
        </w:rPr>
        <w:t>law</w:t>
      </w:r>
    </w:p>
    <w:p w:rsidR="005E5B48" w:rsidRPr="003948BA" w:rsidRDefault="00814043" w:rsidP="00A002A6">
      <w:pPr>
        <w:pStyle w:val="ListParagraph"/>
        <w:numPr>
          <w:ilvl w:val="0"/>
          <w:numId w:val="7"/>
        </w:numPr>
        <w:tabs>
          <w:tab w:val="left" w:pos="2272"/>
        </w:tabs>
        <w:spacing w:before="1"/>
        <w:ind w:right="1295" w:hanging="451"/>
        <w:rPr>
          <w:sz w:val="20"/>
        </w:rPr>
      </w:pPr>
      <w:r w:rsidRPr="003948BA">
        <w:rPr>
          <w:sz w:val="20"/>
        </w:rPr>
        <w:t>Return from all other sources / instruments are taxable at the rate applicable to a public</w:t>
      </w:r>
      <w:r w:rsidRPr="003948BA">
        <w:rPr>
          <w:spacing w:val="-8"/>
          <w:sz w:val="20"/>
        </w:rPr>
        <w:t xml:space="preserve"> </w:t>
      </w:r>
      <w:r w:rsidRPr="003948BA">
        <w:rPr>
          <w:sz w:val="20"/>
        </w:rPr>
        <w:t>company.</w:t>
      </w:r>
    </w:p>
    <w:p w:rsidR="004724FC" w:rsidRPr="003948BA" w:rsidRDefault="004724FC" w:rsidP="004724FC">
      <w:pPr>
        <w:pStyle w:val="ListParagraph"/>
        <w:tabs>
          <w:tab w:val="left" w:pos="2272"/>
        </w:tabs>
        <w:spacing w:before="1"/>
        <w:ind w:left="2271" w:right="1295" w:firstLine="0"/>
        <w:rPr>
          <w:sz w:val="20"/>
        </w:rPr>
      </w:pPr>
    </w:p>
    <w:p w:rsidR="005E5B48" w:rsidRPr="003948BA" w:rsidRDefault="00814043" w:rsidP="00A002A6">
      <w:pPr>
        <w:pStyle w:val="Heading5"/>
        <w:numPr>
          <w:ilvl w:val="2"/>
          <w:numId w:val="39"/>
        </w:numPr>
        <w:tabs>
          <w:tab w:val="left" w:pos="1640"/>
          <w:tab w:val="left" w:pos="1641"/>
        </w:tabs>
        <w:spacing w:line="223" w:lineRule="exact"/>
      </w:pPr>
      <w:r w:rsidRPr="003948BA">
        <w:t>Liability for Income Tax if Ninety Percent of Income is</w:t>
      </w:r>
      <w:r w:rsidRPr="003948BA">
        <w:rPr>
          <w:spacing w:val="-19"/>
        </w:rPr>
        <w:t xml:space="preserve"> </w:t>
      </w:r>
      <w:r w:rsidRPr="003948BA">
        <w:t>distributed</w:t>
      </w:r>
    </w:p>
    <w:p w:rsidR="005E5B48" w:rsidRPr="003948BA" w:rsidRDefault="005E5B48">
      <w:pPr>
        <w:pStyle w:val="BodyText"/>
        <w:spacing w:before="7"/>
        <w:rPr>
          <w:b/>
          <w:sz w:val="27"/>
        </w:rPr>
      </w:pPr>
    </w:p>
    <w:p w:rsidR="005E5B48" w:rsidRPr="003948BA" w:rsidRDefault="00814043">
      <w:pPr>
        <w:pStyle w:val="BodyText"/>
        <w:ind w:left="1640" w:right="1013"/>
        <w:jc w:val="both"/>
      </w:pPr>
      <w:r w:rsidRPr="003948BA">
        <w:t>Notwithstanding the tax rate given above, the income from the Fund will be exempted from tax if not less than 90% of the income for the year as reduced by capital gain distributed amongst the Unit Holders as dividend.</w:t>
      </w:r>
    </w:p>
    <w:p w:rsidR="005E5B48" w:rsidRPr="003948BA" w:rsidRDefault="005E5B48">
      <w:pPr>
        <w:pStyle w:val="BodyText"/>
        <w:spacing w:before="10"/>
        <w:rPr>
          <w:sz w:val="19"/>
        </w:rPr>
      </w:pPr>
    </w:p>
    <w:p w:rsidR="005E5B48" w:rsidRPr="003948BA" w:rsidRDefault="00814043">
      <w:pPr>
        <w:pStyle w:val="BodyText"/>
        <w:spacing w:before="1"/>
        <w:ind w:left="1640" w:right="1015"/>
        <w:jc w:val="both"/>
        <w:rPr>
          <w:sz w:val="22"/>
        </w:rPr>
      </w:pPr>
      <w:r w:rsidRPr="003948BA">
        <w:t>The Fund will distribute not less than 90% of its income received or derived from sources other than capital gains as reduced by such expenses as are chargeable to the Fund</w:t>
      </w:r>
      <w:r w:rsidRPr="003948BA">
        <w:rPr>
          <w:sz w:val="22"/>
        </w:rPr>
        <w:t>.</w:t>
      </w:r>
    </w:p>
    <w:p w:rsidR="005E5B48" w:rsidRPr="003948BA" w:rsidRDefault="00814043" w:rsidP="00A002A6">
      <w:pPr>
        <w:pStyle w:val="Heading5"/>
        <w:numPr>
          <w:ilvl w:val="1"/>
          <w:numId w:val="39"/>
        </w:numPr>
        <w:tabs>
          <w:tab w:val="left" w:pos="1640"/>
          <w:tab w:val="left" w:pos="1641"/>
        </w:tabs>
        <w:spacing w:before="211"/>
      </w:pPr>
      <w:bookmarkStart w:id="76" w:name="_bookmark66"/>
      <w:bookmarkEnd w:id="76"/>
      <w:r w:rsidRPr="003948BA">
        <w:t>Withholding</w:t>
      </w:r>
      <w:r w:rsidRPr="003948BA">
        <w:rPr>
          <w:spacing w:val="-4"/>
        </w:rPr>
        <w:t xml:space="preserve"> </w:t>
      </w:r>
      <w:r w:rsidRPr="003948BA">
        <w:t>tax</w:t>
      </w:r>
    </w:p>
    <w:p w:rsidR="005E5B48" w:rsidRPr="003948BA" w:rsidRDefault="005E5B48">
      <w:pPr>
        <w:pStyle w:val="BodyText"/>
        <w:spacing w:before="6"/>
        <w:rPr>
          <w:b/>
          <w:sz w:val="27"/>
        </w:rPr>
      </w:pPr>
    </w:p>
    <w:p w:rsidR="005E5B48" w:rsidRPr="003948BA" w:rsidRDefault="00814043">
      <w:pPr>
        <w:pStyle w:val="BodyText"/>
        <w:ind w:left="1640" w:right="1022"/>
        <w:jc w:val="both"/>
      </w:pPr>
      <w:r w:rsidRPr="003948BA">
        <w:t xml:space="preserve">Under the provision of Clouse 47(B) of part (IV) of second schedule of the income Tax </w:t>
      </w:r>
      <w:proofErr w:type="spellStart"/>
      <w:r w:rsidRPr="003948BA">
        <w:t>Ordinence</w:t>
      </w:r>
      <w:proofErr w:type="spellEnd"/>
      <w:r w:rsidRPr="003948BA">
        <w:t xml:space="preserve"> 2001, the </w:t>
      </w:r>
      <w:proofErr w:type="spellStart"/>
      <w:r w:rsidRPr="003948BA">
        <w:t>Fund‟s</w:t>
      </w:r>
      <w:proofErr w:type="spellEnd"/>
      <w:r w:rsidRPr="003948BA">
        <w:t xml:space="preserve"> income from dividend from () term finance certificates, Sukuks, return on (</w:t>
      </w:r>
      <w:proofErr w:type="spellStart"/>
      <w:r w:rsidRPr="003948BA">
        <w:t>Riba</w:t>
      </w:r>
      <w:proofErr w:type="spellEnd"/>
      <w:r w:rsidRPr="003948BA">
        <w:t xml:space="preserve"> free) deposits with banks/financial institutions, return from contracts, securities or instruments of companies, organizations and establishments will not be subject to any withholding</w:t>
      </w:r>
      <w:r w:rsidRPr="003948BA">
        <w:rPr>
          <w:spacing w:val="-20"/>
        </w:rPr>
        <w:t xml:space="preserve"> </w:t>
      </w:r>
      <w:r w:rsidRPr="003948BA">
        <w:t>tax.</w:t>
      </w:r>
    </w:p>
    <w:p w:rsidR="005E5B48" w:rsidRPr="003948BA" w:rsidRDefault="005E5B48">
      <w:pPr>
        <w:pStyle w:val="BodyText"/>
        <w:spacing w:before="2"/>
        <w:rPr>
          <w:sz w:val="32"/>
        </w:rPr>
      </w:pPr>
    </w:p>
    <w:p w:rsidR="005E5B48" w:rsidRPr="003948BA" w:rsidRDefault="00814043" w:rsidP="00A002A6">
      <w:pPr>
        <w:pStyle w:val="Heading5"/>
        <w:numPr>
          <w:ilvl w:val="1"/>
          <w:numId w:val="39"/>
        </w:numPr>
        <w:tabs>
          <w:tab w:val="left" w:pos="1640"/>
          <w:tab w:val="left" w:pos="1641"/>
        </w:tabs>
      </w:pPr>
      <w:bookmarkStart w:id="77" w:name="_bookmark67"/>
      <w:bookmarkEnd w:id="77"/>
      <w:r w:rsidRPr="003948BA">
        <w:t>Zakat on</w:t>
      </w:r>
      <w:r w:rsidRPr="003948BA">
        <w:rPr>
          <w:spacing w:val="-9"/>
        </w:rPr>
        <w:t xml:space="preserve"> </w:t>
      </w:r>
      <w:r w:rsidRPr="003948BA">
        <w:t>Fund</w:t>
      </w:r>
    </w:p>
    <w:p w:rsidR="005E5B48" w:rsidRPr="003948BA" w:rsidRDefault="00814043">
      <w:pPr>
        <w:pStyle w:val="BodyText"/>
        <w:ind w:left="1640" w:right="1021"/>
        <w:jc w:val="both"/>
      </w:pPr>
      <w:r w:rsidRPr="003948BA">
        <w:t xml:space="preserve">The Fund is </w:t>
      </w:r>
      <w:proofErr w:type="spellStart"/>
      <w:r w:rsidRPr="003948BA">
        <w:t>Saheb</w:t>
      </w:r>
      <w:proofErr w:type="spellEnd"/>
      <w:r w:rsidRPr="003948BA">
        <w:t>-e-</w:t>
      </w:r>
      <w:proofErr w:type="spellStart"/>
      <w:r w:rsidRPr="003948BA">
        <w:t>Nisab</w:t>
      </w:r>
      <w:proofErr w:type="spellEnd"/>
      <w:r w:rsidRPr="003948BA">
        <w:t xml:space="preserve"> under the Zakat and </w:t>
      </w:r>
      <w:proofErr w:type="spellStart"/>
      <w:r w:rsidRPr="003948BA">
        <w:t>Ushr</w:t>
      </w:r>
      <w:proofErr w:type="spellEnd"/>
      <w:r w:rsidRPr="003948BA">
        <w:t xml:space="preserve"> Ordinance, 1980. The balance in the credit of savings bank account, or similar account with a bank standing on the first day of Ramzan-ul-Mubarak will be subjected to Zakat deduction @</w:t>
      </w:r>
      <w:r w:rsidRPr="003948BA">
        <w:rPr>
          <w:spacing w:val="-15"/>
        </w:rPr>
        <w:t xml:space="preserve"> </w:t>
      </w:r>
      <w:r w:rsidRPr="003948BA">
        <w:t>2.5%.</w:t>
      </w:r>
    </w:p>
    <w:p w:rsidR="005E5B48" w:rsidRPr="003948BA" w:rsidRDefault="005E5B48">
      <w:pPr>
        <w:pStyle w:val="BodyText"/>
        <w:rPr>
          <w:sz w:val="22"/>
        </w:rPr>
      </w:pPr>
    </w:p>
    <w:p w:rsidR="005E5B48" w:rsidRPr="003948BA" w:rsidRDefault="005E5B48">
      <w:pPr>
        <w:pStyle w:val="BodyText"/>
        <w:spacing w:before="5"/>
      </w:pPr>
    </w:p>
    <w:p w:rsidR="005E5B48" w:rsidRPr="003948BA" w:rsidRDefault="00814043" w:rsidP="00A002A6">
      <w:pPr>
        <w:pStyle w:val="Heading5"/>
        <w:numPr>
          <w:ilvl w:val="1"/>
          <w:numId w:val="39"/>
        </w:numPr>
        <w:tabs>
          <w:tab w:val="left" w:pos="1640"/>
          <w:tab w:val="left" w:pos="1641"/>
        </w:tabs>
        <w:spacing w:before="1"/>
      </w:pPr>
      <w:bookmarkStart w:id="78" w:name="_bookmark68"/>
      <w:bookmarkEnd w:id="78"/>
      <w:r w:rsidRPr="003948BA">
        <w:t>Taxation and Zakat on Unit</w:t>
      </w:r>
      <w:r w:rsidRPr="003948BA">
        <w:rPr>
          <w:spacing w:val="-9"/>
        </w:rPr>
        <w:t xml:space="preserve"> </w:t>
      </w:r>
      <w:r w:rsidRPr="003948BA">
        <w:t>Holders</w:t>
      </w:r>
    </w:p>
    <w:p w:rsidR="005E5B48" w:rsidRPr="003948BA" w:rsidRDefault="005E5B48">
      <w:pPr>
        <w:pStyle w:val="BodyText"/>
        <w:spacing w:before="8"/>
        <w:rPr>
          <w:b/>
        </w:rPr>
      </w:pPr>
    </w:p>
    <w:p w:rsidR="005E5B48" w:rsidRPr="003948BA" w:rsidRDefault="00814043" w:rsidP="00A002A6">
      <w:pPr>
        <w:pStyle w:val="ListParagraph"/>
        <w:numPr>
          <w:ilvl w:val="2"/>
          <w:numId w:val="39"/>
        </w:numPr>
        <w:tabs>
          <w:tab w:val="left" w:pos="1640"/>
          <w:tab w:val="left" w:pos="1641"/>
        </w:tabs>
        <w:rPr>
          <w:b/>
          <w:sz w:val="20"/>
        </w:rPr>
      </w:pPr>
      <w:r w:rsidRPr="003948BA">
        <w:rPr>
          <w:b/>
          <w:sz w:val="20"/>
        </w:rPr>
        <w:t>Taxation on Income of the Unit Holder from Allocation Plans under the</w:t>
      </w:r>
      <w:r w:rsidRPr="003948BA">
        <w:rPr>
          <w:b/>
          <w:spacing w:val="-19"/>
          <w:sz w:val="20"/>
        </w:rPr>
        <w:t xml:space="preserve"> </w:t>
      </w:r>
      <w:r w:rsidRPr="003948BA">
        <w:rPr>
          <w:b/>
          <w:sz w:val="20"/>
        </w:rPr>
        <w:t>Fund</w:t>
      </w:r>
    </w:p>
    <w:p w:rsidR="005E5B48" w:rsidRPr="003948BA" w:rsidRDefault="00814043">
      <w:pPr>
        <w:pStyle w:val="BodyText"/>
        <w:spacing w:before="65"/>
        <w:ind w:left="1640" w:right="1021"/>
        <w:jc w:val="both"/>
      </w:pPr>
      <w:r w:rsidRPr="003948BA">
        <w:t>The following is a brief description of the Income Tax Ordinance, 2001, applicable in respect of Unit Holder of Allocation Plans under the Fund. This section is for advice only</w:t>
      </w:r>
    </w:p>
    <w:p w:rsidR="005E5B48" w:rsidRPr="003948BA" w:rsidRDefault="00814043">
      <w:pPr>
        <w:pStyle w:val="BodyText"/>
        <w:spacing w:before="76"/>
        <w:ind w:left="1640" w:right="1023"/>
        <w:jc w:val="both"/>
      </w:pPr>
      <w:r w:rsidRPr="003948BA">
        <w:t>and potential investors should consult their tax experts for their liability with respect to taxation on income from investment in the Fund. This part does not cover tax liability of non-Pakistani resident investors with respect to taxes in their own jurisdiction.</w:t>
      </w:r>
    </w:p>
    <w:p w:rsidR="005E5B48" w:rsidRPr="003948BA" w:rsidRDefault="005E5B48">
      <w:pPr>
        <w:pStyle w:val="BodyText"/>
        <w:spacing w:before="8"/>
      </w:pPr>
    </w:p>
    <w:p w:rsidR="005E5B48" w:rsidRPr="003948BA" w:rsidRDefault="00814043" w:rsidP="00A002A6">
      <w:pPr>
        <w:pStyle w:val="ListParagraph"/>
        <w:numPr>
          <w:ilvl w:val="2"/>
          <w:numId w:val="39"/>
        </w:numPr>
        <w:tabs>
          <w:tab w:val="left" w:pos="1641"/>
        </w:tabs>
        <w:ind w:right="1012"/>
        <w:jc w:val="both"/>
        <w:rPr>
          <w:sz w:val="20"/>
        </w:rPr>
      </w:pPr>
      <w:r w:rsidRPr="003948BA">
        <w:rPr>
          <w:sz w:val="20"/>
        </w:rPr>
        <w:t>Unit Holders of Allocation Plan(s) under the Fund will be subject to applicable Income tax on dividend income distributed by Allocation Plan(s) (exemption on distribution out of capital gains is limited to those Funds which are debt or money market Funds and they do not invest in</w:t>
      </w:r>
      <w:r w:rsidRPr="003948BA">
        <w:rPr>
          <w:spacing w:val="-13"/>
          <w:sz w:val="20"/>
        </w:rPr>
        <w:t xml:space="preserve"> </w:t>
      </w:r>
      <w:r w:rsidRPr="003948BA">
        <w:rPr>
          <w:sz w:val="20"/>
        </w:rPr>
        <w:t>shares).</w:t>
      </w:r>
    </w:p>
    <w:p w:rsidR="005E5B48" w:rsidRPr="003948BA" w:rsidRDefault="005E5B48">
      <w:pPr>
        <w:pStyle w:val="BodyText"/>
        <w:spacing w:before="3"/>
        <w:rPr>
          <w:sz w:val="25"/>
        </w:rPr>
      </w:pPr>
    </w:p>
    <w:p w:rsidR="005E5B48" w:rsidRPr="003948BA" w:rsidRDefault="00814043">
      <w:pPr>
        <w:pStyle w:val="BodyText"/>
        <w:ind w:left="1640" w:right="1018"/>
        <w:jc w:val="both"/>
      </w:pPr>
      <w:r w:rsidRPr="003948BA">
        <w:t>The tax deducted on dividend at the rates specified above will be the final tax (except for companies) and the payer will be required to withhold the amount of tax at source from payment of dividend except payment to the banking companies.</w:t>
      </w:r>
    </w:p>
    <w:p w:rsidR="005E5B48" w:rsidRPr="003948BA" w:rsidRDefault="005E5B48">
      <w:pPr>
        <w:pStyle w:val="BodyText"/>
        <w:rPr>
          <w:sz w:val="21"/>
        </w:rPr>
      </w:pPr>
    </w:p>
    <w:p w:rsidR="005E5B48" w:rsidRPr="003948BA" w:rsidRDefault="00814043" w:rsidP="00A002A6">
      <w:pPr>
        <w:pStyle w:val="ListParagraph"/>
        <w:numPr>
          <w:ilvl w:val="2"/>
          <w:numId w:val="39"/>
        </w:numPr>
        <w:tabs>
          <w:tab w:val="left" w:pos="1640"/>
          <w:tab w:val="left" w:pos="1641"/>
        </w:tabs>
        <w:ind w:right="1240"/>
        <w:rPr>
          <w:sz w:val="20"/>
        </w:rPr>
      </w:pPr>
      <w:r w:rsidRPr="003948BA">
        <w:rPr>
          <w:sz w:val="20"/>
        </w:rPr>
        <w:lastRenderedPageBreak/>
        <w:t>Capital gain arising from sale/redemption of Units of Allocation Plans under the Fund will be</w:t>
      </w:r>
      <w:r w:rsidRPr="003948BA">
        <w:rPr>
          <w:spacing w:val="-3"/>
          <w:sz w:val="20"/>
        </w:rPr>
        <w:t xml:space="preserve"> </w:t>
      </w:r>
      <w:r w:rsidRPr="003948BA">
        <w:rPr>
          <w:sz w:val="20"/>
        </w:rPr>
        <w:t>subject</w:t>
      </w:r>
      <w:r w:rsidRPr="003948BA">
        <w:rPr>
          <w:spacing w:val="-3"/>
          <w:sz w:val="20"/>
        </w:rPr>
        <w:t xml:space="preserve"> </w:t>
      </w:r>
      <w:r w:rsidRPr="003948BA">
        <w:rPr>
          <w:sz w:val="20"/>
        </w:rPr>
        <w:t>to</w:t>
      </w:r>
      <w:r w:rsidRPr="003948BA">
        <w:rPr>
          <w:spacing w:val="-3"/>
          <w:sz w:val="20"/>
        </w:rPr>
        <w:t xml:space="preserve"> </w:t>
      </w:r>
      <w:r w:rsidRPr="003948BA">
        <w:rPr>
          <w:sz w:val="20"/>
        </w:rPr>
        <w:t>tax</w:t>
      </w:r>
      <w:r w:rsidRPr="003948BA">
        <w:rPr>
          <w:spacing w:val="-2"/>
          <w:sz w:val="20"/>
        </w:rPr>
        <w:t xml:space="preserve"> </w:t>
      </w:r>
      <w:r w:rsidRPr="003948BA">
        <w:rPr>
          <w:sz w:val="20"/>
        </w:rPr>
        <w:t>at</w:t>
      </w:r>
      <w:r w:rsidRPr="003948BA">
        <w:rPr>
          <w:spacing w:val="-3"/>
          <w:sz w:val="20"/>
        </w:rPr>
        <w:t xml:space="preserve"> </w:t>
      </w:r>
      <w:r w:rsidRPr="003948BA">
        <w:rPr>
          <w:sz w:val="20"/>
        </w:rPr>
        <w:t>the</w:t>
      </w:r>
      <w:r w:rsidRPr="003948BA">
        <w:rPr>
          <w:spacing w:val="-3"/>
          <w:sz w:val="20"/>
        </w:rPr>
        <w:t xml:space="preserve"> </w:t>
      </w:r>
      <w:r w:rsidRPr="003948BA">
        <w:rPr>
          <w:sz w:val="20"/>
        </w:rPr>
        <w:t>applicable</w:t>
      </w:r>
      <w:r w:rsidRPr="003948BA">
        <w:rPr>
          <w:spacing w:val="-3"/>
          <w:sz w:val="20"/>
        </w:rPr>
        <w:t xml:space="preserve"> </w:t>
      </w:r>
      <w:r w:rsidRPr="003948BA">
        <w:rPr>
          <w:sz w:val="20"/>
        </w:rPr>
        <w:t>tax</w:t>
      </w:r>
      <w:r w:rsidRPr="003948BA">
        <w:rPr>
          <w:spacing w:val="-2"/>
          <w:sz w:val="20"/>
        </w:rPr>
        <w:t xml:space="preserve"> </w:t>
      </w:r>
      <w:r w:rsidRPr="003948BA">
        <w:rPr>
          <w:sz w:val="20"/>
        </w:rPr>
        <w:t>rate</w:t>
      </w:r>
      <w:r w:rsidRPr="003948BA">
        <w:rPr>
          <w:spacing w:val="-3"/>
          <w:sz w:val="20"/>
        </w:rPr>
        <w:t xml:space="preserve"> </w:t>
      </w:r>
      <w:r w:rsidRPr="003948BA">
        <w:rPr>
          <w:sz w:val="20"/>
        </w:rPr>
        <w:t>as</w:t>
      </w:r>
      <w:r w:rsidRPr="003948BA">
        <w:rPr>
          <w:spacing w:val="-2"/>
          <w:sz w:val="20"/>
        </w:rPr>
        <w:t xml:space="preserve"> </w:t>
      </w:r>
      <w:r w:rsidRPr="003948BA">
        <w:rPr>
          <w:sz w:val="20"/>
        </w:rPr>
        <w:t>mentioned</w:t>
      </w:r>
      <w:r w:rsidRPr="003948BA">
        <w:rPr>
          <w:spacing w:val="-3"/>
          <w:sz w:val="20"/>
        </w:rPr>
        <w:t xml:space="preserve"> </w:t>
      </w:r>
      <w:r w:rsidRPr="003948BA">
        <w:rPr>
          <w:sz w:val="20"/>
        </w:rPr>
        <w:t>in</w:t>
      </w:r>
      <w:r w:rsidRPr="003948BA">
        <w:rPr>
          <w:spacing w:val="-1"/>
          <w:sz w:val="20"/>
        </w:rPr>
        <w:t xml:space="preserve"> </w:t>
      </w:r>
      <w:r w:rsidRPr="003948BA">
        <w:rPr>
          <w:sz w:val="20"/>
        </w:rPr>
        <w:t>Income</w:t>
      </w:r>
      <w:r w:rsidRPr="003948BA">
        <w:rPr>
          <w:spacing w:val="-3"/>
          <w:sz w:val="20"/>
        </w:rPr>
        <w:t xml:space="preserve"> </w:t>
      </w:r>
      <w:r w:rsidRPr="003948BA">
        <w:rPr>
          <w:sz w:val="20"/>
        </w:rPr>
        <w:t>Tax</w:t>
      </w:r>
      <w:r w:rsidRPr="003948BA">
        <w:rPr>
          <w:spacing w:val="-2"/>
          <w:sz w:val="20"/>
        </w:rPr>
        <w:t xml:space="preserve"> </w:t>
      </w:r>
      <w:r w:rsidRPr="003948BA">
        <w:rPr>
          <w:sz w:val="20"/>
        </w:rPr>
        <w:t>Ordinance</w:t>
      </w:r>
      <w:r w:rsidRPr="003948BA">
        <w:rPr>
          <w:spacing w:val="-19"/>
          <w:sz w:val="20"/>
        </w:rPr>
        <w:t xml:space="preserve"> </w:t>
      </w:r>
      <w:r w:rsidRPr="003948BA">
        <w:rPr>
          <w:sz w:val="20"/>
        </w:rPr>
        <w:t>2001.</w:t>
      </w:r>
    </w:p>
    <w:p w:rsidR="005E5B48" w:rsidRPr="003948BA" w:rsidRDefault="005E5B48">
      <w:pPr>
        <w:pStyle w:val="BodyText"/>
        <w:spacing w:before="8"/>
      </w:pPr>
    </w:p>
    <w:p w:rsidR="005E5B48" w:rsidRPr="003948BA" w:rsidRDefault="00814043" w:rsidP="00A002A6">
      <w:pPr>
        <w:pStyle w:val="ListParagraph"/>
        <w:numPr>
          <w:ilvl w:val="2"/>
          <w:numId w:val="39"/>
        </w:numPr>
        <w:tabs>
          <w:tab w:val="left" w:pos="1641"/>
        </w:tabs>
        <w:ind w:right="1014"/>
        <w:jc w:val="both"/>
        <w:rPr>
          <w:sz w:val="20"/>
        </w:rPr>
      </w:pPr>
      <w:r w:rsidRPr="003948BA">
        <w:rPr>
          <w:sz w:val="20"/>
        </w:rPr>
        <w:t>Unit Holders who are exempt from income tax may obtain exemption certificate from the Commissioner of Income Tax and provide the same to the Management Company and/or Transfer Agent and on the basis of Exemption Certificate income tax will not be</w:t>
      </w:r>
      <w:r w:rsidRPr="003948BA">
        <w:rPr>
          <w:spacing w:val="-33"/>
          <w:sz w:val="20"/>
        </w:rPr>
        <w:t xml:space="preserve"> </w:t>
      </w:r>
      <w:r w:rsidRPr="003948BA">
        <w:rPr>
          <w:sz w:val="20"/>
        </w:rPr>
        <w:t>withheld.</w:t>
      </w:r>
    </w:p>
    <w:p w:rsidR="005E5B48" w:rsidRPr="003948BA" w:rsidRDefault="005E5B48">
      <w:pPr>
        <w:pStyle w:val="BodyText"/>
        <w:spacing w:before="4"/>
      </w:pPr>
    </w:p>
    <w:p w:rsidR="005E5B48" w:rsidRPr="003948BA" w:rsidRDefault="00814043" w:rsidP="00A002A6">
      <w:pPr>
        <w:pStyle w:val="Heading5"/>
        <w:numPr>
          <w:ilvl w:val="2"/>
          <w:numId w:val="39"/>
        </w:numPr>
        <w:tabs>
          <w:tab w:val="left" w:pos="1640"/>
          <w:tab w:val="left" w:pos="1641"/>
        </w:tabs>
        <w:spacing w:before="1"/>
      </w:pPr>
      <w:r w:rsidRPr="003948BA">
        <w:t>Tax Credit to Unit</w:t>
      </w:r>
      <w:r w:rsidRPr="003948BA">
        <w:rPr>
          <w:spacing w:val="-5"/>
        </w:rPr>
        <w:t xml:space="preserve"> </w:t>
      </w:r>
      <w:r w:rsidRPr="003948BA">
        <w:t>Holders</w:t>
      </w:r>
    </w:p>
    <w:p w:rsidR="005E5B48" w:rsidRPr="003948BA" w:rsidRDefault="00814043">
      <w:pPr>
        <w:pStyle w:val="BodyText"/>
        <w:spacing w:before="67"/>
        <w:ind w:left="1640" w:right="1029"/>
        <w:jc w:val="both"/>
      </w:pPr>
      <w:r w:rsidRPr="003948BA">
        <w:t>Unit Holders other than a company shall be entitled to a tax credit under Section 62 of the Income Tax Ordinance, 2001, on purchase of new Units</w:t>
      </w:r>
    </w:p>
    <w:p w:rsidR="005E5B48" w:rsidRPr="003948BA" w:rsidRDefault="005E5B48">
      <w:pPr>
        <w:pStyle w:val="BodyText"/>
        <w:rPr>
          <w:sz w:val="22"/>
        </w:rPr>
      </w:pPr>
    </w:p>
    <w:p w:rsidR="005E5B48" w:rsidRPr="003948BA" w:rsidRDefault="00814043" w:rsidP="00A002A6">
      <w:pPr>
        <w:pStyle w:val="Heading5"/>
        <w:numPr>
          <w:ilvl w:val="2"/>
          <w:numId w:val="39"/>
        </w:numPr>
        <w:tabs>
          <w:tab w:val="left" w:pos="1640"/>
          <w:tab w:val="left" w:pos="1641"/>
        </w:tabs>
        <w:spacing w:before="1"/>
      </w:pPr>
      <w:r w:rsidRPr="003948BA">
        <w:t>Zakat</w:t>
      </w:r>
    </w:p>
    <w:p w:rsidR="005E5B48" w:rsidRPr="003948BA" w:rsidRDefault="00814043">
      <w:pPr>
        <w:pStyle w:val="BodyText"/>
        <w:spacing w:before="60"/>
        <w:ind w:left="1640" w:right="1007"/>
        <w:jc w:val="both"/>
      </w:pPr>
      <w:r w:rsidRPr="003948BA">
        <w:t xml:space="preserve">Units held by resident Pakistani Unit Holders shall be subject to Zakat at 2.5% of the value of the Units under Zakat and </w:t>
      </w:r>
      <w:proofErr w:type="spellStart"/>
      <w:r w:rsidRPr="003948BA">
        <w:t>Ushr</w:t>
      </w:r>
      <w:proofErr w:type="spellEnd"/>
      <w:r w:rsidRPr="003948BA">
        <w:t xml:space="preserve"> Ordinance, 1980, (XVII of 1980), except those exempted under the said Ordinance. Zakat will be deducted at source from the redemption proceeds.</w:t>
      </w:r>
      <w:r w:rsidRPr="003948BA">
        <w:rPr>
          <w:spacing w:val="31"/>
        </w:rPr>
        <w:t xml:space="preserve"> </w:t>
      </w:r>
      <w:r w:rsidRPr="003948BA">
        <w:t>Above</w:t>
      </w:r>
      <w:r w:rsidRPr="003948BA">
        <w:rPr>
          <w:spacing w:val="31"/>
        </w:rPr>
        <w:t xml:space="preserve"> </w:t>
      </w:r>
      <w:r w:rsidRPr="003948BA">
        <w:t>deduction</w:t>
      </w:r>
      <w:r w:rsidRPr="003948BA">
        <w:rPr>
          <w:spacing w:val="31"/>
        </w:rPr>
        <w:t xml:space="preserve"> </w:t>
      </w:r>
      <w:r w:rsidRPr="003948BA">
        <w:t>will</w:t>
      </w:r>
      <w:r w:rsidRPr="003948BA">
        <w:rPr>
          <w:spacing w:val="30"/>
        </w:rPr>
        <w:t xml:space="preserve"> </w:t>
      </w:r>
      <w:r w:rsidRPr="003948BA">
        <w:t>not</w:t>
      </w:r>
      <w:r w:rsidRPr="003948BA">
        <w:rPr>
          <w:spacing w:val="31"/>
        </w:rPr>
        <w:t xml:space="preserve"> </w:t>
      </w:r>
      <w:r w:rsidRPr="003948BA">
        <w:t>be</w:t>
      </w:r>
      <w:r w:rsidRPr="003948BA">
        <w:rPr>
          <w:spacing w:val="31"/>
        </w:rPr>
        <w:t xml:space="preserve"> </w:t>
      </w:r>
      <w:r w:rsidRPr="003948BA">
        <w:t>made</w:t>
      </w:r>
      <w:r w:rsidRPr="003948BA">
        <w:rPr>
          <w:spacing w:val="31"/>
        </w:rPr>
        <w:t xml:space="preserve"> </w:t>
      </w:r>
      <w:r w:rsidRPr="003948BA">
        <w:t>if</w:t>
      </w:r>
      <w:r w:rsidRPr="003948BA">
        <w:rPr>
          <w:spacing w:val="33"/>
        </w:rPr>
        <w:t xml:space="preserve"> </w:t>
      </w:r>
      <w:r w:rsidRPr="003948BA">
        <w:t>Unit</w:t>
      </w:r>
      <w:r w:rsidRPr="003948BA">
        <w:rPr>
          <w:spacing w:val="33"/>
        </w:rPr>
        <w:t xml:space="preserve"> </w:t>
      </w:r>
      <w:r w:rsidRPr="003948BA">
        <w:t>Holder</w:t>
      </w:r>
      <w:r w:rsidRPr="003948BA">
        <w:rPr>
          <w:spacing w:val="32"/>
        </w:rPr>
        <w:t xml:space="preserve"> </w:t>
      </w:r>
      <w:r w:rsidRPr="003948BA">
        <w:t>provides</w:t>
      </w:r>
      <w:r w:rsidRPr="003948BA">
        <w:rPr>
          <w:spacing w:val="32"/>
        </w:rPr>
        <w:t xml:space="preserve"> </w:t>
      </w:r>
      <w:r w:rsidRPr="003948BA">
        <w:t>declaration</w:t>
      </w:r>
      <w:r w:rsidRPr="003948BA">
        <w:rPr>
          <w:spacing w:val="31"/>
        </w:rPr>
        <w:t xml:space="preserve"> </w:t>
      </w:r>
      <w:r w:rsidRPr="003948BA">
        <w:t>in</w:t>
      </w:r>
      <w:r w:rsidRPr="003948BA">
        <w:rPr>
          <w:spacing w:val="40"/>
        </w:rPr>
        <w:t xml:space="preserve"> </w:t>
      </w:r>
      <w:r w:rsidRPr="003948BA">
        <w:t>due</w:t>
      </w:r>
    </w:p>
    <w:p w:rsidR="005E5B48" w:rsidRPr="003948BA" w:rsidRDefault="00814043">
      <w:pPr>
        <w:pStyle w:val="BodyText"/>
        <w:spacing w:line="223" w:lineRule="exact"/>
        <w:ind w:left="1640"/>
        <w:jc w:val="both"/>
      </w:pPr>
      <w:r w:rsidRPr="003948BA">
        <w:t>course of time to the Management Company.</w:t>
      </w:r>
    </w:p>
    <w:p w:rsidR="005E5B48" w:rsidRPr="003948BA" w:rsidRDefault="005E5B48">
      <w:pPr>
        <w:pStyle w:val="BodyText"/>
        <w:spacing w:before="1"/>
        <w:rPr>
          <w:sz w:val="30"/>
        </w:rPr>
      </w:pPr>
    </w:p>
    <w:p w:rsidR="005E5B48" w:rsidRPr="003948BA" w:rsidRDefault="00814043" w:rsidP="00A002A6">
      <w:pPr>
        <w:pStyle w:val="Heading5"/>
        <w:numPr>
          <w:ilvl w:val="1"/>
          <w:numId w:val="39"/>
        </w:numPr>
        <w:tabs>
          <w:tab w:val="left" w:pos="1640"/>
          <w:tab w:val="left" w:pos="1641"/>
        </w:tabs>
      </w:pPr>
      <w:bookmarkStart w:id="79" w:name="_bookmark69"/>
      <w:bookmarkEnd w:id="79"/>
      <w:r w:rsidRPr="003948BA">
        <w:t>Disclaimer</w:t>
      </w:r>
    </w:p>
    <w:p w:rsidR="005E5B48" w:rsidRPr="003948BA" w:rsidRDefault="00814043">
      <w:pPr>
        <w:pStyle w:val="BodyText"/>
        <w:spacing w:before="65"/>
        <w:ind w:left="1640" w:right="1012"/>
        <w:jc w:val="both"/>
      </w:pPr>
      <w:r w:rsidRPr="003948BA">
        <w:t xml:space="preserve">The tax and Zakat information given above is based on the Management </w:t>
      </w:r>
      <w:proofErr w:type="spellStart"/>
      <w:r w:rsidRPr="003948BA">
        <w:t>Company‟s</w:t>
      </w:r>
      <w:proofErr w:type="spellEnd"/>
      <w:r w:rsidRPr="003948BA">
        <w:t xml:space="preserve"> tax </w:t>
      </w:r>
      <w:proofErr w:type="spellStart"/>
      <w:r w:rsidRPr="003948BA">
        <w:t>advisor‟s</w:t>
      </w:r>
      <w:proofErr w:type="spellEnd"/>
      <w:r w:rsidRPr="003948BA">
        <w:t xml:space="preserve"> interpretation of the law which, to the best of the Management </w:t>
      </w:r>
      <w:proofErr w:type="spellStart"/>
      <w:r w:rsidRPr="003948BA">
        <w:t>Company‟s</w:t>
      </w:r>
      <w:proofErr w:type="spellEnd"/>
      <w:r w:rsidRPr="003948BA">
        <w:t xml:space="preserve"> understanding, is correct. Investors are expected to seek independent advice so as to determine the tax consequences arising from their investment in the Units of the Fund. Furthermore, tax and Zakat laws, including rates of taxation and of withholding tax, are subject to amendments from time to time. Any such amendments in future shall be deemed to have been incorporated</w:t>
      </w:r>
      <w:r w:rsidRPr="003948BA">
        <w:rPr>
          <w:spacing w:val="-4"/>
        </w:rPr>
        <w:t xml:space="preserve"> </w:t>
      </w:r>
      <w:r w:rsidRPr="003948BA">
        <w:t>herein.</w:t>
      </w:r>
    </w:p>
    <w:p w:rsidR="005E5B48" w:rsidRPr="003948BA" w:rsidRDefault="005E5B48">
      <w:pPr>
        <w:pStyle w:val="BodyText"/>
        <w:spacing w:before="9"/>
        <w:rPr>
          <w:sz w:val="23"/>
        </w:rPr>
      </w:pPr>
    </w:p>
    <w:p w:rsidR="005E5B48" w:rsidRPr="003948BA" w:rsidRDefault="00814043" w:rsidP="00A002A6">
      <w:pPr>
        <w:pStyle w:val="Heading5"/>
        <w:numPr>
          <w:ilvl w:val="0"/>
          <w:numId w:val="39"/>
        </w:numPr>
        <w:tabs>
          <w:tab w:val="left" w:pos="1352"/>
          <w:tab w:val="left" w:pos="1353"/>
        </w:tabs>
        <w:ind w:left="1352"/>
        <w:jc w:val="left"/>
      </w:pPr>
      <w:bookmarkStart w:id="80" w:name="_bookmark70"/>
      <w:bookmarkEnd w:id="80"/>
      <w:r w:rsidRPr="003948BA">
        <w:t>REPORTS TO UNIT</w:t>
      </w:r>
      <w:r w:rsidRPr="003948BA">
        <w:rPr>
          <w:spacing w:val="-6"/>
        </w:rPr>
        <w:t xml:space="preserve"> </w:t>
      </w:r>
      <w:r w:rsidRPr="003948BA">
        <w:t>HOLDERS</w:t>
      </w:r>
    </w:p>
    <w:p w:rsidR="005E5B48" w:rsidRPr="003948BA" w:rsidRDefault="00814043" w:rsidP="00A002A6">
      <w:pPr>
        <w:pStyle w:val="Heading5"/>
        <w:numPr>
          <w:ilvl w:val="1"/>
          <w:numId w:val="39"/>
        </w:numPr>
        <w:tabs>
          <w:tab w:val="left" w:pos="1640"/>
          <w:tab w:val="left" w:pos="1641"/>
        </w:tabs>
        <w:spacing w:before="120"/>
      </w:pPr>
      <w:bookmarkStart w:id="81" w:name="_bookmark71"/>
      <w:bookmarkEnd w:id="81"/>
      <w:r w:rsidRPr="003948BA">
        <w:t>Account</w:t>
      </w:r>
      <w:r w:rsidRPr="003948BA">
        <w:rPr>
          <w:spacing w:val="-10"/>
        </w:rPr>
        <w:t xml:space="preserve"> </w:t>
      </w:r>
      <w:r w:rsidRPr="003948BA">
        <w:t>Statement</w:t>
      </w:r>
    </w:p>
    <w:p w:rsidR="005E5B48" w:rsidRPr="003948BA" w:rsidRDefault="00814043">
      <w:pPr>
        <w:pStyle w:val="BodyText"/>
        <w:spacing w:before="69"/>
        <w:ind w:left="1640" w:right="1022"/>
        <w:jc w:val="both"/>
      </w:pPr>
      <w:r w:rsidRPr="003948BA">
        <w:t>The Management Company/Transfer Agent shall send directly to each Unit Holder an account statement each time there is a transaction in the account.</w:t>
      </w:r>
    </w:p>
    <w:p w:rsidR="005E5B48" w:rsidRPr="003948BA" w:rsidRDefault="005E5B48">
      <w:pPr>
        <w:pStyle w:val="BodyText"/>
        <w:spacing w:before="7"/>
        <w:rPr>
          <w:sz w:val="19"/>
        </w:rPr>
      </w:pPr>
    </w:p>
    <w:p w:rsidR="005E5B48" w:rsidRPr="003948BA" w:rsidRDefault="00814043">
      <w:pPr>
        <w:pStyle w:val="BodyText"/>
        <w:spacing w:before="1"/>
        <w:ind w:left="1640" w:right="1022"/>
        <w:jc w:val="both"/>
      </w:pPr>
      <w:r w:rsidRPr="003948BA">
        <w:t>The Management Company/Transfer Agent shall provide account balance and/or account activities through electronic mode to Unit Holder, who opted for such service.</w:t>
      </w:r>
    </w:p>
    <w:p w:rsidR="005E5B48" w:rsidRPr="003948BA" w:rsidRDefault="005E5B48">
      <w:pPr>
        <w:pStyle w:val="BodyText"/>
        <w:spacing w:before="1"/>
      </w:pPr>
    </w:p>
    <w:p w:rsidR="005E5B48" w:rsidRPr="003948BA" w:rsidRDefault="00814043">
      <w:pPr>
        <w:pStyle w:val="BodyText"/>
        <w:ind w:left="1640" w:right="1003"/>
        <w:jc w:val="both"/>
      </w:pPr>
      <w:r w:rsidRPr="003948BA">
        <w:t>The Unit Holder will be entitled to ask for copies of his account statement on any Dealing Day within Business Hours by applying to the Management Company/Transfer Agent in writing and providing such fee as specified in Annexure B that the Management Company may notify from time to time.</w:t>
      </w:r>
    </w:p>
    <w:p w:rsidR="005E5B48" w:rsidRPr="003948BA" w:rsidRDefault="005E5B48">
      <w:pPr>
        <w:pStyle w:val="BodyText"/>
        <w:rPr>
          <w:sz w:val="22"/>
        </w:rPr>
      </w:pPr>
    </w:p>
    <w:p w:rsidR="005E5B48" w:rsidRPr="003948BA" w:rsidRDefault="00814043" w:rsidP="00A002A6">
      <w:pPr>
        <w:pStyle w:val="Heading2"/>
        <w:numPr>
          <w:ilvl w:val="1"/>
          <w:numId w:val="39"/>
        </w:numPr>
        <w:tabs>
          <w:tab w:val="left" w:pos="1640"/>
          <w:tab w:val="left" w:pos="1641"/>
        </w:tabs>
        <w:rPr>
          <w:sz w:val="20"/>
        </w:rPr>
      </w:pPr>
      <w:bookmarkStart w:id="82" w:name="_bookmark72"/>
      <w:bookmarkEnd w:id="82"/>
      <w:r w:rsidRPr="003948BA">
        <w:t>Financial</w:t>
      </w:r>
      <w:r w:rsidRPr="003948BA">
        <w:rPr>
          <w:spacing w:val="-1"/>
        </w:rPr>
        <w:t xml:space="preserve"> </w:t>
      </w:r>
      <w:r w:rsidRPr="003948BA">
        <w:t>Reporting</w:t>
      </w:r>
    </w:p>
    <w:p w:rsidR="005E5B48" w:rsidRPr="003948BA" w:rsidRDefault="005E5B48">
      <w:pPr>
        <w:pStyle w:val="BodyText"/>
        <w:spacing w:before="5"/>
        <w:rPr>
          <w:b/>
          <w:sz w:val="28"/>
        </w:rPr>
      </w:pPr>
    </w:p>
    <w:p w:rsidR="005E5B48" w:rsidRPr="003948BA" w:rsidRDefault="00814043" w:rsidP="00A002A6">
      <w:pPr>
        <w:pStyle w:val="ListParagraph"/>
        <w:numPr>
          <w:ilvl w:val="0"/>
          <w:numId w:val="6"/>
        </w:numPr>
        <w:tabs>
          <w:tab w:val="left" w:pos="1641"/>
        </w:tabs>
        <w:spacing w:before="1"/>
        <w:ind w:right="1018"/>
        <w:jc w:val="both"/>
        <w:rPr>
          <w:sz w:val="20"/>
        </w:rPr>
      </w:pPr>
      <w:r w:rsidRPr="003948BA">
        <w:rPr>
          <w:sz w:val="20"/>
        </w:rPr>
        <w:t>The Management Company shall prepare and transmit the annual report physically in such form and manner as set out in Regulations as amended or substituted from time to</w:t>
      </w:r>
      <w:r w:rsidRPr="003948BA">
        <w:rPr>
          <w:spacing w:val="-38"/>
          <w:sz w:val="20"/>
        </w:rPr>
        <w:t xml:space="preserve"> </w:t>
      </w:r>
      <w:r w:rsidRPr="003948BA">
        <w:rPr>
          <w:sz w:val="20"/>
        </w:rPr>
        <w:t>time.</w:t>
      </w:r>
    </w:p>
    <w:p w:rsidR="005E5B48" w:rsidRPr="003948BA" w:rsidRDefault="00814043" w:rsidP="00A002A6">
      <w:pPr>
        <w:pStyle w:val="ListParagraph"/>
        <w:numPr>
          <w:ilvl w:val="0"/>
          <w:numId w:val="6"/>
        </w:numPr>
        <w:tabs>
          <w:tab w:val="left" w:pos="1641"/>
        </w:tabs>
        <w:spacing w:before="3"/>
        <w:ind w:right="1020"/>
        <w:jc w:val="both"/>
        <w:rPr>
          <w:sz w:val="20"/>
        </w:rPr>
      </w:pPr>
      <w:r w:rsidRPr="003948BA">
        <w:rPr>
          <w:sz w:val="20"/>
        </w:rPr>
        <w:t>The Management Company shall prepare and transmit quarterly reports physically (or through electronic means or on the web subject to SECP approval) in such form and manner as set out in Regulations as amended or substituted from time to</w:t>
      </w:r>
      <w:r w:rsidRPr="003948BA">
        <w:rPr>
          <w:spacing w:val="-24"/>
          <w:sz w:val="20"/>
        </w:rPr>
        <w:t xml:space="preserve"> </w:t>
      </w:r>
      <w:r w:rsidRPr="003948BA">
        <w:rPr>
          <w:sz w:val="20"/>
        </w:rPr>
        <w:t>time.</w:t>
      </w:r>
    </w:p>
    <w:p w:rsidR="005E5B48" w:rsidRPr="003948BA" w:rsidRDefault="005E5B48">
      <w:pPr>
        <w:pStyle w:val="BodyText"/>
        <w:spacing w:before="9"/>
        <w:rPr>
          <w:sz w:val="31"/>
        </w:rPr>
      </w:pPr>
    </w:p>
    <w:p w:rsidR="005E5B48" w:rsidRPr="003948BA" w:rsidRDefault="00814043" w:rsidP="00A002A6">
      <w:pPr>
        <w:pStyle w:val="Heading5"/>
        <w:numPr>
          <w:ilvl w:val="1"/>
          <w:numId w:val="39"/>
        </w:numPr>
        <w:tabs>
          <w:tab w:val="left" w:pos="1640"/>
          <w:tab w:val="left" w:pos="1641"/>
        </w:tabs>
      </w:pPr>
      <w:bookmarkStart w:id="83" w:name="_bookmark73"/>
      <w:bookmarkEnd w:id="83"/>
      <w:r w:rsidRPr="003948BA">
        <w:t>Trustee</w:t>
      </w:r>
      <w:r w:rsidRPr="003948BA">
        <w:rPr>
          <w:spacing w:val="-9"/>
        </w:rPr>
        <w:t xml:space="preserve"> </w:t>
      </w:r>
      <w:r w:rsidRPr="003948BA">
        <w:t>Report</w:t>
      </w:r>
    </w:p>
    <w:p w:rsidR="005E5B48" w:rsidRPr="003948BA" w:rsidRDefault="005E5B48">
      <w:pPr>
        <w:pStyle w:val="BodyText"/>
        <w:spacing w:before="6"/>
        <w:rPr>
          <w:b/>
          <w:sz w:val="25"/>
        </w:rPr>
      </w:pPr>
    </w:p>
    <w:p w:rsidR="005E5B48" w:rsidRPr="003948BA" w:rsidRDefault="00134789" w:rsidP="00AE5A36">
      <w:pPr>
        <w:pStyle w:val="BodyText"/>
        <w:spacing w:before="1"/>
        <w:ind w:left="1640" w:right="980"/>
      </w:pPr>
      <w:r w:rsidRPr="003948BA">
        <w:t>The Trustee shall report to the Unit Holders in accordance with the Regulations, directives, circulars and Shariah provisions or guidelines issued by the Commission.</w:t>
      </w:r>
    </w:p>
    <w:p w:rsidR="00134789" w:rsidRPr="003948BA" w:rsidRDefault="00134789" w:rsidP="00134789">
      <w:pPr>
        <w:pStyle w:val="BodyText"/>
        <w:spacing w:before="1"/>
        <w:ind w:left="1640"/>
        <w:rPr>
          <w:sz w:val="30"/>
        </w:rPr>
      </w:pPr>
    </w:p>
    <w:p w:rsidR="005E5B48" w:rsidRPr="003948BA" w:rsidRDefault="00814043" w:rsidP="00A002A6">
      <w:pPr>
        <w:pStyle w:val="Heading5"/>
        <w:numPr>
          <w:ilvl w:val="1"/>
          <w:numId w:val="39"/>
        </w:numPr>
        <w:tabs>
          <w:tab w:val="left" w:pos="1640"/>
          <w:tab w:val="left" w:pos="1641"/>
        </w:tabs>
      </w:pPr>
      <w:bookmarkStart w:id="84" w:name="_bookmark74"/>
      <w:bookmarkEnd w:id="84"/>
      <w:r w:rsidRPr="003948BA">
        <w:t>Fund Manager</w:t>
      </w:r>
      <w:r w:rsidRPr="003948BA">
        <w:rPr>
          <w:spacing w:val="-14"/>
        </w:rPr>
        <w:t xml:space="preserve"> </w:t>
      </w:r>
      <w:r w:rsidRPr="003948BA">
        <w:t>Report</w:t>
      </w:r>
    </w:p>
    <w:p w:rsidR="005E5B48" w:rsidRPr="003948BA" w:rsidRDefault="005E5B48">
      <w:pPr>
        <w:pStyle w:val="BodyText"/>
        <w:spacing w:before="8"/>
        <w:rPr>
          <w:b/>
          <w:sz w:val="25"/>
        </w:rPr>
      </w:pPr>
    </w:p>
    <w:p w:rsidR="005E5B48" w:rsidRDefault="00814043">
      <w:pPr>
        <w:pStyle w:val="BodyText"/>
        <w:spacing w:before="1"/>
        <w:ind w:left="1640" w:right="1016"/>
        <w:jc w:val="both"/>
      </w:pPr>
      <w:r w:rsidRPr="003948BA">
        <w:t>The Management Company shall prepare Fund Manager report each month as per guideline issued by MUFAP and transmit the same to the Unit Holders and also made available at their web site.</w:t>
      </w:r>
    </w:p>
    <w:p w:rsidR="005E5B48" w:rsidRPr="003948BA" w:rsidRDefault="005E5B48">
      <w:pPr>
        <w:pStyle w:val="BodyText"/>
        <w:spacing w:before="6"/>
        <w:rPr>
          <w:sz w:val="18"/>
        </w:rPr>
      </w:pPr>
    </w:p>
    <w:p w:rsidR="005E5B48" w:rsidRPr="003948BA" w:rsidRDefault="00814043" w:rsidP="00A002A6">
      <w:pPr>
        <w:pStyle w:val="Heading5"/>
        <w:numPr>
          <w:ilvl w:val="0"/>
          <w:numId w:val="39"/>
        </w:numPr>
        <w:tabs>
          <w:tab w:val="left" w:pos="1407"/>
          <w:tab w:val="left" w:pos="1408"/>
        </w:tabs>
        <w:spacing w:before="1"/>
        <w:ind w:left="1407" w:hanging="487"/>
        <w:jc w:val="left"/>
      </w:pPr>
      <w:bookmarkStart w:id="85" w:name="_bookmark75"/>
      <w:bookmarkEnd w:id="85"/>
      <w:r w:rsidRPr="003948BA">
        <w:t>WARNING AND</w:t>
      </w:r>
      <w:r w:rsidRPr="003948BA">
        <w:rPr>
          <w:spacing w:val="1"/>
        </w:rPr>
        <w:t xml:space="preserve"> </w:t>
      </w:r>
      <w:r w:rsidRPr="003948BA">
        <w:t>DISCLAIMER</w:t>
      </w:r>
    </w:p>
    <w:p w:rsidR="005E5B48" w:rsidRPr="003948BA" w:rsidRDefault="00814043" w:rsidP="00A002A6">
      <w:pPr>
        <w:pStyle w:val="Heading5"/>
        <w:numPr>
          <w:ilvl w:val="1"/>
          <w:numId w:val="39"/>
        </w:numPr>
        <w:tabs>
          <w:tab w:val="left" w:pos="1640"/>
          <w:tab w:val="left" w:pos="1641"/>
        </w:tabs>
        <w:spacing w:before="120"/>
      </w:pPr>
      <w:bookmarkStart w:id="86" w:name="_bookmark76"/>
      <w:bookmarkEnd w:id="86"/>
      <w:r w:rsidRPr="003948BA">
        <w:t>Warning</w:t>
      </w:r>
    </w:p>
    <w:p w:rsidR="005E5B48" w:rsidRPr="003948BA" w:rsidRDefault="005E5B48">
      <w:pPr>
        <w:pStyle w:val="BodyText"/>
        <w:spacing w:before="4"/>
        <w:rPr>
          <w:b/>
          <w:sz w:val="21"/>
        </w:rPr>
      </w:pPr>
    </w:p>
    <w:p w:rsidR="005E5B48" w:rsidRPr="003948BA" w:rsidRDefault="00814043" w:rsidP="00A002A6">
      <w:pPr>
        <w:pStyle w:val="ListParagraph"/>
        <w:numPr>
          <w:ilvl w:val="2"/>
          <w:numId w:val="39"/>
        </w:numPr>
        <w:tabs>
          <w:tab w:val="left" w:pos="1641"/>
        </w:tabs>
        <w:ind w:right="1015"/>
        <w:jc w:val="both"/>
        <w:rPr>
          <w:sz w:val="20"/>
        </w:rPr>
      </w:pPr>
      <w:r w:rsidRPr="003948BA">
        <w:rPr>
          <w:sz w:val="20"/>
        </w:rPr>
        <w:t>If you are in any doubt about the contents of this Offering Document, you should consult your bank manager, Legal advisor, or other financial advisor. The price of the Units of Allocation Plans under this Fund and the income of the Allocation Plans (from which distributions to Unit Holders is made) may increase or</w:t>
      </w:r>
      <w:r w:rsidRPr="003948BA">
        <w:rPr>
          <w:spacing w:val="-27"/>
          <w:sz w:val="20"/>
        </w:rPr>
        <w:t xml:space="preserve"> </w:t>
      </w:r>
      <w:r w:rsidRPr="003948BA">
        <w:rPr>
          <w:sz w:val="20"/>
        </w:rPr>
        <w:t>decrease.</w:t>
      </w:r>
    </w:p>
    <w:p w:rsidR="005E5B48" w:rsidRPr="003948BA" w:rsidRDefault="005E5B48">
      <w:pPr>
        <w:pStyle w:val="BodyText"/>
        <w:spacing w:before="9"/>
      </w:pPr>
    </w:p>
    <w:p w:rsidR="005E5B48" w:rsidRPr="003948BA" w:rsidRDefault="00814043" w:rsidP="00A002A6">
      <w:pPr>
        <w:pStyle w:val="ListParagraph"/>
        <w:numPr>
          <w:ilvl w:val="2"/>
          <w:numId w:val="39"/>
        </w:numPr>
        <w:tabs>
          <w:tab w:val="left" w:pos="1640"/>
          <w:tab w:val="left" w:pos="1641"/>
        </w:tabs>
        <w:rPr>
          <w:sz w:val="20"/>
        </w:rPr>
      </w:pPr>
      <w:r w:rsidRPr="003948BA">
        <w:rPr>
          <w:sz w:val="20"/>
        </w:rPr>
        <w:t>Investment in Allocation Plans under this Fund is suitable for investors who have the</w:t>
      </w:r>
      <w:r w:rsidRPr="003948BA">
        <w:rPr>
          <w:spacing w:val="-10"/>
          <w:sz w:val="20"/>
        </w:rPr>
        <w:t xml:space="preserve"> </w:t>
      </w:r>
      <w:r w:rsidRPr="003948BA">
        <w:rPr>
          <w:sz w:val="20"/>
        </w:rPr>
        <w:t>ability</w:t>
      </w:r>
    </w:p>
    <w:p w:rsidR="005E5B48" w:rsidRPr="003948BA" w:rsidRDefault="00814043">
      <w:pPr>
        <w:pStyle w:val="BodyText"/>
        <w:ind w:left="1640" w:right="1016"/>
        <w:jc w:val="both"/>
      </w:pPr>
      <w:r w:rsidRPr="003948BA">
        <w:t xml:space="preserve">to take the risks associated with financial market investments. Capital invested in the financial markets could in extreme circumstances lose its entire value. The historical performance of this Fund, other Funds managed by the Management Company, the financial markets, or that of any one security or transaction included in the </w:t>
      </w:r>
      <w:proofErr w:type="spellStart"/>
      <w:r w:rsidRPr="003948BA">
        <w:t>Fund‟s</w:t>
      </w:r>
      <w:proofErr w:type="spellEnd"/>
      <w:r w:rsidRPr="003948BA">
        <w:t xml:space="preserve"> portfolio will not necessarily indicate future performance.</w:t>
      </w:r>
    </w:p>
    <w:p w:rsidR="005E5B48" w:rsidRPr="003948BA" w:rsidRDefault="00814043" w:rsidP="00A002A6">
      <w:pPr>
        <w:pStyle w:val="Heading5"/>
        <w:numPr>
          <w:ilvl w:val="1"/>
          <w:numId w:val="39"/>
        </w:numPr>
        <w:tabs>
          <w:tab w:val="left" w:pos="1640"/>
          <w:tab w:val="left" w:pos="1641"/>
        </w:tabs>
        <w:spacing w:before="191"/>
      </w:pPr>
      <w:bookmarkStart w:id="87" w:name="_bookmark77"/>
      <w:bookmarkEnd w:id="87"/>
      <w:r w:rsidRPr="003948BA">
        <w:t>Disclaimer</w:t>
      </w:r>
    </w:p>
    <w:p w:rsidR="005E5B48" w:rsidRPr="003948BA" w:rsidRDefault="005E5B48">
      <w:pPr>
        <w:pStyle w:val="BodyText"/>
        <w:spacing w:before="3"/>
        <w:rPr>
          <w:b/>
          <w:sz w:val="21"/>
        </w:rPr>
      </w:pPr>
    </w:p>
    <w:p w:rsidR="005E5B48" w:rsidRPr="003948BA" w:rsidRDefault="00814043" w:rsidP="00A002A6">
      <w:pPr>
        <w:pStyle w:val="ListParagraph"/>
        <w:numPr>
          <w:ilvl w:val="2"/>
          <w:numId w:val="39"/>
        </w:numPr>
        <w:tabs>
          <w:tab w:val="left" w:pos="1641"/>
        </w:tabs>
        <w:ind w:right="1008"/>
        <w:jc w:val="both"/>
        <w:rPr>
          <w:sz w:val="20"/>
        </w:rPr>
      </w:pPr>
      <w:r w:rsidRPr="003948BA">
        <w:rPr>
          <w:sz w:val="20"/>
        </w:rPr>
        <w:t>The Units of the Allocation Plans under the Fund are not bank deposits and are neither issued by, insured by, obligation of, nor otherwise supported by SECP, any Government Agency, Trustee (except to the extent specifically stated in this document and the Trust Deed) or any of the shareholders of the Management Company or any of the Pre-IPO Investors or any other bank or financial institution. The portfolio of the Allocation Plan(s) is subject to market risks and risks inherent in all such</w:t>
      </w:r>
      <w:r w:rsidRPr="003948BA">
        <w:rPr>
          <w:spacing w:val="-27"/>
          <w:sz w:val="20"/>
        </w:rPr>
        <w:t xml:space="preserve"> </w:t>
      </w:r>
      <w:r w:rsidRPr="003948BA">
        <w:rPr>
          <w:sz w:val="20"/>
        </w:rPr>
        <w:t>investments.</w:t>
      </w:r>
    </w:p>
    <w:p w:rsidR="005E5B48" w:rsidRPr="003948BA" w:rsidRDefault="005E5B48">
      <w:pPr>
        <w:pStyle w:val="BodyText"/>
        <w:rPr>
          <w:sz w:val="21"/>
        </w:rPr>
      </w:pPr>
    </w:p>
    <w:p w:rsidR="005E5B48" w:rsidRPr="003948BA" w:rsidRDefault="00814043" w:rsidP="00A002A6">
      <w:pPr>
        <w:pStyle w:val="ListParagraph"/>
        <w:numPr>
          <w:ilvl w:val="2"/>
          <w:numId w:val="39"/>
        </w:numPr>
        <w:tabs>
          <w:tab w:val="left" w:pos="1641"/>
        </w:tabs>
        <w:ind w:right="1013"/>
        <w:jc w:val="both"/>
        <w:rPr>
          <w:sz w:val="20"/>
        </w:rPr>
      </w:pPr>
      <w:r w:rsidRPr="003948BA">
        <w:rPr>
          <w:sz w:val="20"/>
        </w:rPr>
        <w:t>Allocation</w:t>
      </w:r>
      <w:r w:rsidRPr="003948BA">
        <w:rPr>
          <w:spacing w:val="-6"/>
          <w:sz w:val="20"/>
        </w:rPr>
        <w:t xml:space="preserve"> </w:t>
      </w:r>
      <w:r w:rsidRPr="003948BA">
        <w:rPr>
          <w:sz w:val="20"/>
        </w:rPr>
        <w:t>Plans‟</w:t>
      </w:r>
      <w:r w:rsidRPr="003948BA">
        <w:rPr>
          <w:spacing w:val="-9"/>
          <w:sz w:val="20"/>
        </w:rPr>
        <w:t xml:space="preserve"> </w:t>
      </w:r>
      <w:r w:rsidRPr="003948BA">
        <w:rPr>
          <w:sz w:val="20"/>
        </w:rPr>
        <w:t>target</w:t>
      </w:r>
      <w:r w:rsidRPr="003948BA">
        <w:rPr>
          <w:spacing w:val="-8"/>
          <w:sz w:val="20"/>
        </w:rPr>
        <w:t xml:space="preserve"> </w:t>
      </w:r>
      <w:r w:rsidRPr="003948BA">
        <w:rPr>
          <w:sz w:val="20"/>
        </w:rPr>
        <w:t>return/</w:t>
      </w:r>
      <w:r w:rsidRPr="003948BA">
        <w:rPr>
          <w:spacing w:val="-8"/>
          <w:sz w:val="20"/>
        </w:rPr>
        <w:t xml:space="preserve"> </w:t>
      </w:r>
      <w:r w:rsidRPr="003948BA">
        <w:rPr>
          <w:sz w:val="20"/>
        </w:rPr>
        <w:t>dividend</w:t>
      </w:r>
      <w:r w:rsidRPr="003948BA">
        <w:rPr>
          <w:spacing w:val="-8"/>
          <w:sz w:val="20"/>
        </w:rPr>
        <w:t xml:space="preserve"> </w:t>
      </w:r>
      <w:r w:rsidRPr="003948BA">
        <w:rPr>
          <w:sz w:val="20"/>
        </w:rPr>
        <w:t>range</w:t>
      </w:r>
      <w:r w:rsidRPr="003948BA">
        <w:rPr>
          <w:spacing w:val="-9"/>
          <w:sz w:val="20"/>
        </w:rPr>
        <w:t xml:space="preserve"> </w:t>
      </w:r>
      <w:r w:rsidRPr="003948BA">
        <w:rPr>
          <w:sz w:val="20"/>
        </w:rPr>
        <w:t>cannot</w:t>
      </w:r>
      <w:r w:rsidRPr="003948BA">
        <w:rPr>
          <w:spacing w:val="-8"/>
          <w:sz w:val="20"/>
        </w:rPr>
        <w:t xml:space="preserve"> </w:t>
      </w:r>
      <w:r w:rsidRPr="003948BA">
        <w:rPr>
          <w:sz w:val="20"/>
        </w:rPr>
        <w:t>be</w:t>
      </w:r>
      <w:r w:rsidRPr="003948BA">
        <w:rPr>
          <w:spacing w:val="-8"/>
          <w:sz w:val="20"/>
        </w:rPr>
        <w:t xml:space="preserve"> </w:t>
      </w:r>
      <w:r w:rsidRPr="003948BA">
        <w:rPr>
          <w:sz w:val="20"/>
        </w:rPr>
        <w:t>guaranteed.</w:t>
      </w:r>
      <w:r w:rsidRPr="003948BA">
        <w:rPr>
          <w:spacing w:val="-8"/>
          <w:sz w:val="20"/>
        </w:rPr>
        <w:t xml:space="preserve"> </w:t>
      </w:r>
      <w:r w:rsidRPr="003948BA">
        <w:rPr>
          <w:sz w:val="20"/>
        </w:rPr>
        <w:t>Allocation</w:t>
      </w:r>
      <w:r w:rsidRPr="003948BA">
        <w:rPr>
          <w:spacing w:val="-8"/>
          <w:sz w:val="20"/>
        </w:rPr>
        <w:t xml:space="preserve"> </w:t>
      </w:r>
      <w:r w:rsidRPr="003948BA">
        <w:rPr>
          <w:sz w:val="20"/>
        </w:rPr>
        <w:t>Plans‟</w:t>
      </w:r>
      <w:r w:rsidRPr="003948BA">
        <w:rPr>
          <w:spacing w:val="-9"/>
          <w:sz w:val="20"/>
        </w:rPr>
        <w:t xml:space="preserve"> </w:t>
      </w:r>
      <w:r w:rsidRPr="003948BA">
        <w:rPr>
          <w:sz w:val="20"/>
        </w:rPr>
        <w:t>Unit price is neither guaranteed nor administered/ managed; it is based on the NAV that may go up or down depending upon the factors and forces affecting the capital markets and interest</w:t>
      </w:r>
      <w:r w:rsidRPr="003948BA">
        <w:rPr>
          <w:spacing w:val="-6"/>
          <w:sz w:val="20"/>
        </w:rPr>
        <w:t xml:space="preserve"> </w:t>
      </w:r>
      <w:r w:rsidRPr="003948BA">
        <w:rPr>
          <w:sz w:val="20"/>
        </w:rPr>
        <w:t>rates.</w:t>
      </w:r>
    </w:p>
    <w:p w:rsidR="005E5B48" w:rsidRPr="003948BA" w:rsidRDefault="005E5B48">
      <w:pPr>
        <w:pStyle w:val="BodyText"/>
        <w:spacing w:before="4"/>
      </w:pPr>
    </w:p>
    <w:p w:rsidR="005E5B48" w:rsidRPr="003948BA" w:rsidRDefault="00814043" w:rsidP="00A002A6">
      <w:pPr>
        <w:pStyle w:val="Heading5"/>
        <w:numPr>
          <w:ilvl w:val="0"/>
          <w:numId w:val="39"/>
        </w:numPr>
        <w:tabs>
          <w:tab w:val="left" w:pos="1353"/>
        </w:tabs>
        <w:ind w:left="1352"/>
        <w:jc w:val="left"/>
      </w:pPr>
      <w:bookmarkStart w:id="88" w:name="_bookmark78"/>
      <w:bookmarkEnd w:id="88"/>
      <w:r w:rsidRPr="003948BA">
        <w:t>GENERAL</w:t>
      </w:r>
      <w:r w:rsidRPr="003948BA">
        <w:rPr>
          <w:spacing w:val="-8"/>
        </w:rPr>
        <w:t xml:space="preserve"> </w:t>
      </w:r>
      <w:r w:rsidRPr="003948BA">
        <w:t>INFORMATION</w:t>
      </w:r>
    </w:p>
    <w:p w:rsidR="005E5B48" w:rsidRPr="003948BA" w:rsidRDefault="00814043" w:rsidP="00A002A6">
      <w:pPr>
        <w:pStyle w:val="Heading5"/>
        <w:numPr>
          <w:ilvl w:val="1"/>
          <w:numId w:val="39"/>
        </w:numPr>
        <w:tabs>
          <w:tab w:val="left" w:pos="1640"/>
          <w:tab w:val="left" w:pos="1641"/>
        </w:tabs>
        <w:spacing w:before="121"/>
      </w:pPr>
      <w:bookmarkStart w:id="89" w:name="_bookmark79"/>
      <w:bookmarkEnd w:id="89"/>
      <w:r w:rsidRPr="003948BA">
        <w:t>Accounting Period / Financial Year of the</w:t>
      </w:r>
      <w:r w:rsidRPr="003948BA">
        <w:rPr>
          <w:spacing w:val="-18"/>
        </w:rPr>
        <w:t xml:space="preserve"> </w:t>
      </w:r>
      <w:r w:rsidRPr="003948BA">
        <w:t>Fund</w:t>
      </w:r>
    </w:p>
    <w:p w:rsidR="005E5B48" w:rsidRPr="003948BA" w:rsidRDefault="005E5B48">
      <w:pPr>
        <w:pStyle w:val="BodyText"/>
        <w:spacing w:before="6"/>
        <w:rPr>
          <w:b/>
          <w:sz w:val="27"/>
        </w:rPr>
      </w:pPr>
    </w:p>
    <w:p w:rsidR="005E5B48" w:rsidRPr="003948BA" w:rsidRDefault="00814043">
      <w:pPr>
        <w:pStyle w:val="BodyText"/>
        <w:ind w:left="1640" w:right="1017"/>
        <w:jc w:val="both"/>
      </w:pPr>
      <w:r w:rsidRPr="003948BA">
        <w:t>Accounting Period means a period ending on and including an accounting date and commencing (in case of the first such period) on the date on which the Trust Property is first paid or transferred to the Trustee and (in any other case) from the next day of the preceding accounting period.</w:t>
      </w:r>
    </w:p>
    <w:p w:rsidR="005E5B48" w:rsidRPr="003948BA" w:rsidRDefault="005E5B48">
      <w:pPr>
        <w:pStyle w:val="BodyText"/>
        <w:spacing w:before="3"/>
      </w:pPr>
    </w:p>
    <w:p w:rsidR="005E5B48" w:rsidRPr="003948BA" w:rsidRDefault="00814043">
      <w:pPr>
        <w:pStyle w:val="BodyText"/>
        <w:ind w:left="1640" w:right="1032"/>
        <w:jc w:val="both"/>
      </w:pPr>
      <w:r w:rsidRPr="003948BA">
        <w:t>Annual Accounting Period means the period commence on 1st July and shall end on 30th June of the succeeding calendar year.</w:t>
      </w:r>
    </w:p>
    <w:p w:rsidR="005E5B48" w:rsidRPr="003948BA" w:rsidRDefault="005E5B48">
      <w:pPr>
        <w:pStyle w:val="BodyText"/>
        <w:rPr>
          <w:sz w:val="32"/>
        </w:rPr>
      </w:pPr>
    </w:p>
    <w:p w:rsidR="005E5B48" w:rsidRPr="003948BA" w:rsidRDefault="00814043" w:rsidP="00A002A6">
      <w:pPr>
        <w:pStyle w:val="Heading5"/>
        <w:numPr>
          <w:ilvl w:val="1"/>
          <w:numId w:val="39"/>
        </w:numPr>
        <w:tabs>
          <w:tab w:val="left" w:pos="1640"/>
          <w:tab w:val="left" w:pos="1641"/>
        </w:tabs>
      </w:pPr>
      <w:bookmarkStart w:id="90" w:name="_bookmark80"/>
      <w:bookmarkEnd w:id="90"/>
      <w:r w:rsidRPr="003948BA">
        <w:t>Inspection of Constitutive</w:t>
      </w:r>
      <w:r w:rsidRPr="003948BA">
        <w:rPr>
          <w:spacing w:val="-12"/>
        </w:rPr>
        <w:t xml:space="preserve"> </w:t>
      </w:r>
      <w:r w:rsidRPr="003948BA">
        <w:t>Documents</w:t>
      </w:r>
    </w:p>
    <w:p w:rsidR="005E5B48" w:rsidRPr="003948BA" w:rsidRDefault="00814043">
      <w:pPr>
        <w:pStyle w:val="BodyText"/>
        <w:spacing w:before="68"/>
        <w:ind w:left="1640" w:right="1016"/>
        <w:jc w:val="both"/>
      </w:pPr>
      <w:r w:rsidRPr="003948BA">
        <w:t>The copies of constitutive documents, such as the Deed and the Offering Document, can be inspected free of charge at the addresses given below, however such documents shall also be available on the web site of the Management Company:</w:t>
      </w:r>
    </w:p>
    <w:p w:rsidR="005E5B48" w:rsidRPr="003948BA" w:rsidRDefault="005E5B48">
      <w:pPr>
        <w:pStyle w:val="BodyText"/>
        <w:spacing w:before="4"/>
        <w:rPr>
          <w:sz w:val="21"/>
        </w:rPr>
      </w:pPr>
    </w:p>
    <w:p w:rsidR="005E5B48" w:rsidRPr="003948BA" w:rsidRDefault="00814043">
      <w:pPr>
        <w:pStyle w:val="Heading5"/>
        <w:ind w:firstLine="0"/>
      </w:pPr>
      <w:r w:rsidRPr="003948BA">
        <w:t>UBL Fund Managers – Operations Office</w:t>
      </w:r>
    </w:p>
    <w:p w:rsidR="005E5B48" w:rsidRPr="003948BA" w:rsidRDefault="00814043">
      <w:pPr>
        <w:pStyle w:val="BodyText"/>
        <w:spacing w:before="8"/>
        <w:ind w:left="1640" w:right="6572"/>
      </w:pPr>
      <w:r w:rsidRPr="003948BA">
        <w:t>4th Floor STSM Building, Beaumont Road, Civil Lines Karachi, Pakistan</w:t>
      </w:r>
    </w:p>
    <w:p w:rsidR="005E5B48" w:rsidRPr="003948BA" w:rsidRDefault="005E5B48">
      <w:pPr>
        <w:pStyle w:val="BodyText"/>
        <w:spacing w:before="10"/>
        <w:rPr>
          <w:sz w:val="31"/>
        </w:rPr>
      </w:pPr>
    </w:p>
    <w:p w:rsidR="005E5B48" w:rsidRPr="003948BA" w:rsidRDefault="00814043" w:rsidP="00A002A6">
      <w:pPr>
        <w:pStyle w:val="Heading5"/>
        <w:numPr>
          <w:ilvl w:val="1"/>
          <w:numId w:val="39"/>
        </w:numPr>
        <w:tabs>
          <w:tab w:val="left" w:pos="1640"/>
          <w:tab w:val="left" w:pos="1641"/>
        </w:tabs>
      </w:pPr>
      <w:bookmarkStart w:id="91" w:name="_bookmark81"/>
      <w:bookmarkEnd w:id="91"/>
      <w:r w:rsidRPr="003948BA">
        <w:t>Transfer of Management Rights of the</w:t>
      </w:r>
      <w:r w:rsidRPr="003948BA">
        <w:rPr>
          <w:spacing w:val="-12"/>
        </w:rPr>
        <w:t xml:space="preserve"> </w:t>
      </w:r>
      <w:r w:rsidRPr="003948BA">
        <w:t>Fund</w:t>
      </w:r>
    </w:p>
    <w:p w:rsidR="005E5B48" w:rsidRPr="003948BA" w:rsidRDefault="00814043">
      <w:pPr>
        <w:pStyle w:val="BodyText"/>
        <w:ind w:left="1640" w:right="1008"/>
        <w:jc w:val="both"/>
      </w:pPr>
      <w:r w:rsidRPr="003948BA">
        <w:t>The management rights of the Fund may be transferred to another Management Company upon the occurrence of any of the following events in accordance with the procedure laid down in the Regulation, the Deed and the Directive issued by the Commission;-</w:t>
      </w:r>
    </w:p>
    <w:p w:rsidR="005E5B48" w:rsidRPr="003948BA" w:rsidRDefault="005E5B48">
      <w:pPr>
        <w:pStyle w:val="BodyText"/>
        <w:spacing w:before="3"/>
        <w:rPr>
          <w:sz w:val="22"/>
        </w:rPr>
      </w:pPr>
    </w:p>
    <w:p w:rsidR="005E5B48" w:rsidRPr="003948BA" w:rsidRDefault="00814043" w:rsidP="00A002A6">
      <w:pPr>
        <w:pStyle w:val="ListParagraph"/>
        <w:numPr>
          <w:ilvl w:val="0"/>
          <w:numId w:val="5"/>
        </w:numPr>
        <w:tabs>
          <w:tab w:val="left" w:pos="2272"/>
        </w:tabs>
        <w:ind w:right="1018" w:hanging="451"/>
        <w:jc w:val="both"/>
        <w:rPr>
          <w:sz w:val="20"/>
        </w:rPr>
      </w:pPr>
      <w:r w:rsidRPr="003948BA">
        <w:rPr>
          <w:sz w:val="20"/>
        </w:rPr>
        <w:t>the Management Company goes into liquidation, becomes bankrupt or has a liquidator appointed over its assets, or its license has been cancelled or does not hold valid</w:t>
      </w:r>
      <w:r w:rsidRPr="003948BA">
        <w:rPr>
          <w:spacing w:val="-7"/>
          <w:sz w:val="20"/>
        </w:rPr>
        <w:t xml:space="preserve"> </w:t>
      </w:r>
      <w:r w:rsidRPr="003948BA">
        <w:rPr>
          <w:sz w:val="20"/>
        </w:rPr>
        <w:t>license;</w:t>
      </w:r>
    </w:p>
    <w:p w:rsidR="005E5B48" w:rsidRPr="003948BA" w:rsidRDefault="005E5B48">
      <w:pPr>
        <w:pStyle w:val="BodyText"/>
        <w:spacing w:before="11"/>
        <w:rPr>
          <w:sz w:val="19"/>
        </w:rPr>
      </w:pPr>
    </w:p>
    <w:p w:rsidR="005E5B48" w:rsidRPr="003948BA" w:rsidRDefault="00814043" w:rsidP="00A002A6">
      <w:pPr>
        <w:pStyle w:val="ListParagraph"/>
        <w:numPr>
          <w:ilvl w:val="0"/>
          <w:numId w:val="5"/>
        </w:numPr>
        <w:tabs>
          <w:tab w:val="left" w:pos="2272"/>
        </w:tabs>
        <w:ind w:right="1016" w:hanging="451"/>
        <w:jc w:val="both"/>
        <w:rPr>
          <w:sz w:val="20"/>
        </w:rPr>
      </w:pPr>
      <w:r w:rsidRPr="003948BA">
        <w:rPr>
          <w:sz w:val="20"/>
        </w:rPr>
        <w:lastRenderedPageBreak/>
        <w:t xml:space="preserve">where the Management Company is unable to remove the suspension of redemption of Units of the Fund within the fifteen business days </w:t>
      </w:r>
      <w:r w:rsidRPr="003948BA">
        <w:rPr>
          <w:spacing w:val="2"/>
          <w:sz w:val="20"/>
        </w:rPr>
        <w:t xml:space="preserve">of </w:t>
      </w:r>
      <w:r w:rsidRPr="003948BA">
        <w:rPr>
          <w:sz w:val="20"/>
        </w:rPr>
        <w:t>suspension and the Unit Holders representing at least three fourth in value of total outstanding Units of the concerned scheme pass a resolution or have given consent in writing that the scheme be transferred to another Management</w:t>
      </w:r>
      <w:r w:rsidRPr="003948BA">
        <w:rPr>
          <w:spacing w:val="-22"/>
          <w:sz w:val="20"/>
        </w:rPr>
        <w:t xml:space="preserve"> </w:t>
      </w:r>
      <w:r w:rsidRPr="003948BA">
        <w:rPr>
          <w:sz w:val="20"/>
        </w:rPr>
        <w:t>Company;</w:t>
      </w:r>
    </w:p>
    <w:p w:rsidR="005E5B48" w:rsidRPr="003948BA" w:rsidRDefault="005E5B48">
      <w:pPr>
        <w:pStyle w:val="BodyText"/>
        <w:spacing w:before="9"/>
        <w:rPr>
          <w:sz w:val="19"/>
        </w:rPr>
      </w:pPr>
    </w:p>
    <w:p w:rsidR="005E5B48" w:rsidRPr="003948BA" w:rsidRDefault="00814043" w:rsidP="00A002A6">
      <w:pPr>
        <w:pStyle w:val="ListParagraph"/>
        <w:numPr>
          <w:ilvl w:val="0"/>
          <w:numId w:val="5"/>
        </w:numPr>
        <w:tabs>
          <w:tab w:val="left" w:pos="2272"/>
        </w:tabs>
        <w:ind w:right="1015" w:hanging="451"/>
        <w:jc w:val="both"/>
        <w:rPr>
          <w:sz w:val="20"/>
        </w:rPr>
      </w:pPr>
      <w:r w:rsidRPr="003948BA">
        <w:rPr>
          <w:sz w:val="20"/>
        </w:rPr>
        <w:t>if in the opinion of the Commission further management of the Fund by the existing Management Company is detrimental to the interest of the Unit Holders, the Commission may direct the Trustee to transfer the Fund</w:t>
      </w:r>
      <w:r w:rsidRPr="003948BA">
        <w:rPr>
          <w:spacing w:val="33"/>
          <w:sz w:val="20"/>
        </w:rPr>
        <w:t xml:space="preserve"> </w:t>
      </w:r>
      <w:r w:rsidRPr="003948BA">
        <w:rPr>
          <w:sz w:val="20"/>
        </w:rPr>
        <w:t>to another Management</w:t>
      </w:r>
    </w:p>
    <w:p w:rsidR="005E5B48" w:rsidRPr="003948BA" w:rsidRDefault="00814043">
      <w:pPr>
        <w:pStyle w:val="BodyText"/>
        <w:spacing w:line="223" w:lineRule="exact"/>
        <w:ind w:left="2271"/>
      </w:pPr>
      <w:r w:rsidRPr="003948BA">
        <w:t>Company.</w:t>
      </w:r>
    </w:p>
    <w:p w:rsidR="005E5B48" w:rsidRPr="003948BA" w:rsidRDefault="005E5B48">
      <w:pPr>
        <w:pStyle w:val="BodyText"/>
        <w:spacing w:before="3"/>
      </w:pPr>
    </w:p>
    <w:p w:rsidR="005E5B48" w:rsidRPr="003948BA" w:rsidRDefault="00814043" w:rsidP="00A002A6">
      <w:pPr>
        <w:pStyle w:val="ListParagraph"/>
        <w:numPr>
          <w:ilvl w:val="0"/>
          <w:numId w:val="5"/>
        </w:numPr>
        <w:tabs>
          <w:tab w:val="left" w:pos="2272"/>
        </w:tabs>
        <w:ind w:right="1020" w:hanging="451"/>
        <w:jc w:val="both"/>
        <w:rPr>
          <w:sz w:val="20"/>
        </w:rPr>
      </w:pPr>
      <w:r w:rsidRPr="003948BA">
        <w:rPr>
          <w:sz w:val="20"/>
        </w:rPr>
        <w:t>If the Management Company may retire voluntarily with the prior written consent of the</w:t>
      </w:r>
      <w:r w:rsidRPr="003948BA">
        <w:rPr>
          <w:spacing w:val="-5"/>
          <w:sz w:val="20"/>
        </w:rPr>
        <w:t xml:space="preserve"> </w:t>
      </w:r>
      <w:r w:rsidRPr="003948BA">
        <w:rPr>
          <w:sz w:val="20"/>
        </w:rPr>
        <w:t>Commission.</w:t>
      </w:r>
    </w:p>
    <w:p w:rsidR="005E5B48" w:rsidRPr="003948BA" w:rsidRDefault="005E5B48" w:rsidP="004724FC">
      <w:pPr>
        <w:rPr>
          <w:sz w:val="32"/>
        </w:rPr>
      </w:pPr>
    </w:p>
    <w:p w:rsidR="005E5B48" w:rsidRPr="003948BA" w:rsidRDefault="00814043" w:rsidP="00A002A6">
      <w:pPr>
        <w:pStyle w:val="Heading5"/>
        <w:numPr>
          <w:ilvl w:val="1"/>
          <w:numId w:val="39"/>
        </w:numPr>
        <w:tabs>
          <w:tab w:val="left" w:pos="1640"/>
          <w:tab w:val="left" w:pos="1641"/>
        </w:tabs>
      </w:pPr>
      <w:bookmarkStart w:id="92" w:name="_bookmark82"/>
      <w:bookmarkEnd w:id="92"/>
      <w:r w:rsidRPr="003948BA">
        <w:t>Extinguishment /Revocation of the</w:t>
      </w:r>
      <w:r w:rsidRPr="003948BA">
        <w:rPr>
          <w:spacing w:val="-4"/>
        </w:rPr>
        <w:t xml:space="preserve"> </w:t>
      </w:r>
      <w:r w:rsidRPr="003948BA">
        <w:t>Fund</w:t>
      </w:r>
    </w:p>
    <w:p w:rsidR="005E5B48" w:rsidRPr="003948BA" w:rsidRDefault="005E5B48">
      <w:pPr>
        <w:pStyle w:val="BodyText"/>
        <w:spacing w:before="7"/>
        <w:rPr>
          <w:b/>
          <w:sz w:val="27"/>
        </w:rPr>
      </w:pPr>
    </w:p>
    <w:p w:rsidR="005E5B48" w:rsidRPr="003948BA" w:rsidRDefault="00814043">
      <w:pPr>
        <w:pStyle w:val="BodyText"/>
        <w:ind w:left="1640" w:right="1021"/>
        <w:jc w:val="both"/>
      </w:pPr>
      <w:r w:rsidRPr="003948BA">
        <w:t>The Fund may be extinguished by the occurrence of any of the following events in accordance with the procedure laid down in the Regulation, the Deed and the Directive issued by the Commission;-</w:t>
      </w:r>
    </w:p>
    <w:p w:rsidR="005E5B48" w:rsidRPr="003948BA" w:rsidRDefault="005E5B48">
      <w:pPr>
        <w:pStyle w:val="BodyText"/>
        <w:spacing w:before="11"/>
        <w:rPr>
          <w:sz w:val="19"/>
        </w:rPr>
      </w:pPr>
    </w:p>
    <w:p w:rsidR="005E5B48" w:rsidRPr="003948BA" w:rsidRDefault="00814043" w:rsidP="00A002A6">
      <w:pPr>
        <w:pStyle w:val="ListParagraph"/>
        <w:numPr>
          <w:ilvl w:val="0"/>
          <w:numId w:val="4"/>
        </w:numPr>
        <w:tabs>
          <w:tab w:val="left" w:pos="2272"/>
        </w:tabs>
        <w:ind w:right="1016" w:hanging="451"/>
        <w:jc w:val="both"/>
        <w:rPr>
          <w:sz w:val="20"/>
        </w:rPr>
      </w:pPr>
      <w:r w:rsidRPr="003948BA">
        <w:rPr>
          <w:sz w:val="20"/>
        </w:rPr>
        <w:t>the Fund has reached its maturity date as specified in the Deed and/or the Offering Document;</w:t>
      </w:r>
    </w:p>
    <w:p w:rsidR="005E5B48" w:rsidRPr="003948BA" w:rsidRDefault="005E5B48">
      <w:pPr>
        <w:pStyle w:val="BodyText"/>
        <w:spacing w:before="1"/>
      </w:pPr>
    </w:p>
    <w:p w:rsidR="005E5B48" w:rsidRPr="003948BA" w:rsidRDefault="00814043" w:rsidP="00A002A6">
      <w:pPr>
        <w:pStyle w:val="ListParagraph"/>
        <w:numPr>
          <w:ilvl w:val="0"/>
          <w:numId w:val="4"/>
        </w:numPr>
        <w:tabs>
          <w:tab w:val="left" w:pos="2272"/>
        </w:tabs>
        <w:ind w:right="1015" w:hanging="451"/>
        <w:jc w:val="both"/>
        <w:rPr>
          <w:sz w:val="20"/>
        </w:rPr>
      </w:pPr>
      <w:r w:rsidRPr="003948BA">
        <w:rPr>
          <w:sz w:val="20"/>
        </w:rPr>
        <w:t>where the Management Company is unable to remove the suspension of redemption of Units of the Fund within the fifteen business days of suspension and the Unit Holders representing at least three fourth in value of total outstanding Units of the concerned scheme pass a resolution or have given consent in writing that the scheme be</w:t>
      </w:r>
      <w:r w:rsidRPr="003948BA">
        <w:rPr>
          <w:spacing w:val="-9"/>
          <w:sz w:val="20"/>
        </w:rPr>
        <w:t xml:space="preserve"> </w:t>
      </w:r>
      <w:r w:rsidRPr="003948BA">
        <w:rPr>
          <w:sz w:val="20"/>
        </w:rPr>
        <w:t>revoked;</w:t>
      </w:r>
    </w:p>
    <w:p w:rsidR="005E5B48" w:rsidRPr="003948BA" w:rsidRDefault="005E5B48">
      <w:pPr>
        <w:pStyle w:val="BodyText"/>
        <w:spacing w:before="10"/>
      </w:pPr>
    </w:p>
    <w:p w:rsidR="005E5B48" w:rsidRPr="003948BA" w:rsidRDefault="00814043" w:rsidP="00A002A6">
      <w:pPr>
        <w:pStyle w:val="ListParagraph"/>
        <w:numPr>
          <w:ilvl w:val="0"/>
          <w:numId w:val="4"/>
        </w:numPr>
        <w:tabs>
          <w:tab w:val="left" w:pos="2272"/>
        </w:tabs>
        <w:spacing w:before="1"/>
        <w:ind w:right="1019" w:hanging="451"/>
        <w:jc w:val="both"/>
        <w:rPr>
          <w:sz w:val="20"/>
        </w:rPr>
      </w:pPr>
      <w:r w:rsidRPr="003948BA">
        <w:rPr>
          <w:sz w:val="20"/>
        </w:rPr>
        <w:t>where the Management Company goes into liquidation, becomes bankrupt or has a liquidator appointed over its assets, or its license has been cancelled or does not hold valid</w:t>
      </w:r>
      <w:r w:rsidRPr="003948BA">
        <w:rPr>
          <w:spacing w:val="-10"/>
          <w:sz w:val="20"/>
        </w:rPr>
        <w:t xml:space="preserve"> </w:t>
      </w:r>
      <w:r w:rsidRPr="003948BA">
        <w:rPr>
          <w:sz w:val="20"/>
        </w:rPr>
        <w:t>license;</w:t>
      </w:r>
    </w:p>
    <w:p w:rsidR="005E5B48" w:rsidRPr="003948BA" w:rsidRDefault="00814043" w:rsidP="00A002A6">
      <w:pPr>
        <w:pStyle w:val="ListParagraph"/>
        <w:numPr>
          <w:ilvl w:val="0"/>
          <w:numId w:val="4"/>
        </w:numPr>
        <w:tabs>
          <w:tab w:val="left" w:pos="2272"/>
        </w:tabs>
        <w:spacing w:before="73"/>
        <w:ind w:right="1026" w:hanging="451"/>
        <w:jc w:val="both"/>
        <w:rPr>
          <w:sz w:val="20"/>
        </w:rPr>
      </w:pPr>
      <w:r w:rsidRPr="003948BA">
        <w:rPr>
          <w:sz w:val="20"/>
        </w:rPr>
        <w:t>in the opinion of the Management Company the scheme is not commercially viable or purpose of the scheme cannot be accomplished subject to the consent of Trustee;</w:t>
      </w:r>
    </w:p>
    <w:p w:rsidR="005E5B48" w:rsidRPr="003948BA" w:rsidRDefault="005E5B48">
      <w:pPr>
        <w:pStyle w:val="BodyText"/>
        <w:spacing w:before="10"/>
        <w:rPr>
          <w:sz w:val="19"/>
        </w:rPr>
      </w:pPr>
    </w:p>
    <w:p w:rsidR="005E5B48" w:rsidRPr="003948BA" w:rsidRDefault="00814043" w:rsidP="00A002A6">
      <w:pPr>
        <w:pStyle w:val="ListParagraph"/>
        <w:numPr>
          <w:ilvl w:val="0"/>
          <w:numId w:val="4"/>
        </w:numPr>
        <w:tabs>
          <w:tab w:val="left" w:pos="2272"/>
        </w:tabs>
        <w:spacing w:before="1"/>
        <w:ind w:right="1012" w:hanging="451"/>
        <w:jc w:val="both"/>
        <w:rPr>
          <w:sz w:val="20"/>
        </w:rPr>
      </w:pPr>
      <w:r w:rsidRPr="003948BA">
        <w:rPr>
          <w:sz w:val="20"/>
        </w:rPr>
        <w:t>The Management Company subject to regulatory approval, may announce winding up of the Trust in the event redemption requests build up to a level where the Management Company is of the view that the disposal of the Trust Property to meet such redemptions would jeopardize the interests of the remaining Unit Holder(s) and that it would be in the best interest of all the Unit Holder(s) that the Trust be wound</w:t>
      </w:r>
      <w:r w:rsidRPr="003948BA">
        <w:rPr>
          <w:spacing w:val="-7"/>
          <w:sz w:val="20"/>
        </w:rPr>
        <w:t xml:space="preserve"> </w:t>
      </w:r>
      <w:r w:rsidRPr="003948BA">
        <w:rPr>
          <w:sz w:val="20"/>
        </w:rPr>
        <w:t>up.</w:t>
      </w:r>
    </w:p>
    <w:p w:rsidR="005E5B48" w:rsidRPr="003948BA" w:rsidRDefault="005E5B48">
      <w:pPr>
        <w:pStyle w:val="BodyText"/>
      </w:pPr>
    </w:p>
    <w:p w:rsidR="005E5B48" w:rsidRPr="003948BA" w:rsidRDefault="00814043" w:rsidP="00A002A6">
      <w:pPr>
        <w:pStyle w:val="ListParagraph"/>
        <w:numPr>
          <w:ilvl w:val="0"/>
          <w:numId w:val="4"/>
        </w:numPr>
        <w:tabs>
          <w:tab w:val="left" w:pos="2272"/>
        </w:tabs>
        <w:ind w:right="1022" w:hanging="451"/>
        <w:jc w:val="both"/>
        <w:rPr>
          <w:sz w:val="20"/>
        </w:rPr>
      </w:pPr>
      <w:r w:rsidRPr="003948BA">
        <w:rPr>
          <w:sz w:val="20"/>
        </w:rPr>
        <w:t>on occurrence of any event or circumstances which, in the opinion of the Trustee, requires the Fund to be revoked;</w:t>
      </w:r>
      <w:r w:rsidRPr="003948BA">
        <w:rPr>
          <w:spacing w:val="-13"/>
          <w:sz w:val="20"/>
        </w:rPr>
        <w:t xml:space="preserve"> </w:t>
      </w:r>
      <w:r w:rsidRPr="003948BA">
        <w:rPr>
          <w:sz w:val="20"/>
        </w:rPr>
        <w:t>and</w:t>
      </w:r>
    </w:p>
    <w:p w:rsidR="005E5B48" w:rsidRPr="003948BA" w:rsidRDefault="005E5B48">
      <w:pPr>
        <w:pStyle w:val="BodyText"/>
        <w:spacing w:before="2"/>
      </w:pPr>
    </w:p>
    <w:p w:rsidR="005E5B48" w:rsidRPr="003948BA" w:rsidRDefault="00814043" w:rsidP="00A002A6">
      <w:pPr>
        <w:pStyle w:val="ListParagraph"/>
        <w:numPr>
          <w:ilvl w:val="0"/>
          <w:numId w:val="4"/>
        </w:numPr>
        <w:tabs>
          <w:tab w:val="left" w:pos="2272"/>
        </w:tabs>
        <w:ind w:right="1018" w:hanging="451"/>
        <w:jc w:val="both"/>
        <w:rPr>
          <w:sz w:val="20"/>
        </w:rPr>
      </w:pPr>
      <w:r w:rsidRPr="003948BA">
        <w:rPr>
          <w:sz w:val="20"/>
        </w:rPr>
        <w:t>where the Commission deems it necessary to revoke the Fund so directs either Trustee or the Management Company in the interest of Unit</w:t>
      </w:r>
      <w:r w:rsidRPr="003948BA">
        <w:rPr>
          <w:spacing w:val="-27"/>
          <w:sz w:val="20"/>
        </w:rPr>
        <w:t xml:space="preserve"> </w:t>
      </w:r>
      <w:r w:rsidRPr="003948BA">
        <w:rPr>
          <w:sz w:val="20"/>
        </w:rPr>
        <w:t>Holders;</w:t>
      </w:r>
    </w:p>
    <w:p w:rsidR="005E5B48" w:rsidRPr="003948BA" w:rsidRDefault="005E5B48">
      <w:pPr>
        <w:pStyle w:val="BodyText"/>
        <w:rPr>
          <w:sz w:val="22"/>
        </w:rPr>
      </w:pPr>
    </w:p>
    <w:p w:rsidR="005E5B48" w:rsidRPr="003948BA" w:rsidRDefault="005E5B48">
      <w:pPr>
        <w:pStyle w:val="BodyText"/>
        <w:rPr>
          <w:sz w:val="28"/>
        </w:rPr>
      </w:pPr>
    </w:p>
    <w:p w:rsidR="005E5B48" w:rsidRPr="003948BA" w:rsidRDefault="00814043" w:rsidP="00A002A6">
      <w:pPr>
        <w:pStyle w:val="Heading5"/>
        <w:numPr>
          <w:ilvl w:val="1"/>
          <w:numId w:val="39"/>
        </w:numPr>
        <w:tabs>
          <w:tab w:val="left" w:pos="1640"/>
          <w:tab w:val="left" w:pos="1641"/>
        </w:tabs>
      </w:pPr>
      <w:bookmarkStart w:id="93" w:name="_bookmark83"/>
      <w:bookmarkEnd w:id="93"/>
      <w:r w:rsidRPr="003948BA">
        <w:t>Procedure and manner of Revocation of the</w:t>
      </w:r>
      <w:r w:rsidRPr="003948BA">
        <w:rPr>
          <w:spacing w:val="-11"/>
        </w:rPr>
        <w:t xml:space="preserve"> </w:t>
      </w:r>
      <w:r w:rsidRPr="003948BA">
        <w:t>Fund</w:t>
      </w:r>
    </w:p>
    <w:p w:rsidR="005E5B48" w:rsidRPr="003948BA" w:rsidRDefault="00814043" w:rsidP="00F901D2">
      <w:pPr>
        <w:pStyle w:val="BodyText"/>
        <w:spacing w:before="67"/>
        <w:ind w:left="1640" w:right="1380"/>
        <w:jc w:val="both"/>
      </w:pPr>
      <w:r w:rsidRPr="003948BA">
        <w:t>Revocation of the Fund shall be done in accordance with the procedures and in the manner as mentioned in the Regulations or through circulars / guidelines issued by the SECP from time to time.</w:t>
      </w:r>
    </w:p>
    <w:p w:rsidR="005E5B48" w:rsidRPr="003948BA" w:rsidRDefault="005E5B48">
      <w:pPr>
        <w:pStyle w:val="BodyText"/>
        <w:rPr>
          <w:sz w:val="30"/>
        </w:rPr>
      </w:pPr>
    </w:p>
    <w:p w:rsidR="005E5B48" w:rsidRPr="003948BA" w:rsidRDefault="00814043" w:rsidP="00A002A6">
      <w:pPr>
        <w:pStyle w:val="Heading5"/>
        <w:numPr>
          <w:ilvl w:val="1"/>
          <w:numId w:val="39"/>
        </w:numPr>
        <w:tabs>
          <w:tab w:val="left" w:pos="1640"/>
          <w:tab w:val="left" w:pos="1641"/>
        </w:tabs>
      </w:pPr>
      <w:bookmarkStart w:id="94" w:name="_bookmark84"/>
      <w:bookmarkEnd w:id="94"/>
      <w:r w:rsidRPr="003948BA">
        <w:t>Distribution of proceeds on</w:t>
      </w:r>
      <w:r w:rsidRPr="003948BA">
        <w:rPr>
          <w:spacing w:val="-9"/>
        </w:rPr>
        <w:t xml:space="preserve"> </w:t>
      </w:r>
      <w:r w:rsidRPr="003948BA">
        <w:t>Revocation</w:t>
      </w:r>
    </w:p>
    <w:p w:rsidR="005E5B48" w:rsidRPr="003948BA" w:rsidRDefault="005E5B48">
      <w:pPr>
        <w:pStyle w:val="BodyText"/>
        <w:spacing w:before="8"/>
        <w:rPr>
          <w:b/>
        </w:rPr>
      </w:pPr>
    </w:p>
    <w:p w:rsidR="005E5B48" w:rsidRPr="003948BA" w:rsidRDefault="00814043" w:rsidP="005A03AE">
      <w:pPr>
        <w:ind w:left="1440" w:right="1019" w:firstLine="200"/>
        <w:jc w:val="both"/>
        <w:rPr>
          <w:sz w:val="20"/>
        </w:rPr>
      </w:pPr>
      <w:r w:rsidRPr="003948BA">
        <w:rPr>
          <w:sz w:val="20"/>
        </w:rPr>
        <w:t>In case of Revocation of the Fund the Trustee shall according to the procedure laid down in Regulations refund the net proceeds to the Unit Holders in proportion to the number of units held by them.</w:t>
      </w:r>
    </w:p>
    <w:p w:rsidR="005E5B48" w:rsidRPr="003948BA" w:rsidRDefault="005E5B48">
      <w:pPr>
        <w:pStyle w:val="BodyText"/>
        <w:rPr>
          <w:b/>
        </w:rPr>
      </w:pPr>
    </w:p>
    <w:p w:rsidR="005E5B48" w:rsidRPr="003948BA" w:rsidRDefault="00814043" w:rsidP="00A002A6">
      <w:pPr>
        <w:pStyle w:val="ListParagraph"/>
        <w:numPr>
          <w:ilvl w:val="1"/>
          <w:numId w:val="39"/>
        </w:numPr>
        <w:tabs>
          <w:tab w:val="left" w:pos="1640"/>
          <w:tab w:val="left" w:pos="1641"/>
        </w:tabs>
        <w:rPr>
          <w:b/>
          <w:i/>
          <w:sz w:val="20"/>
        </w:rPr>
      </w:pPr>
      <w:bookmarkStart w:id="95" w:name="_bookmark85"/>
      <w:bookmarkEnd w:id="95"/>
      <w:r w:rsidRPr="003948BA">
        <w:rPr>
          <w:b/>
          <w:i/>
          <w:sz w:val="20"/>
        </w:rPr>
        <w:t>GLOSSARY</w:t>
      </w:r>
    </w:p>
    <w:p w:rsidR="005E5B48" w:rsidRPr="003948BA" w:rsidRDefault="005E5B48">
      <w:pPr>
        <w:pStyle w:val="BodyText"/>
        <w:spacing w:before="2"/>
        <w:rPr>
          <w:b/>
          <w:i/>
          <w:sz w:val="27"/>
        </w:rPr>
      </w:pPr>
    </w:p>
    <w:p w:rsidR="005E5B48" w:rsidRPr="003948BA" w:rsidRDefault="00814043">
      <w:pPr>
        <w:pStyle w:val="BodyText"/>
        <w:ind w:left="1460" w:right="1027"/>
        <w:jc w:val="both"/>
      </w:pPr>
      <w:r w:rsidRPr="003948BA">
        <w:t>Unless the context requires otherwise the following words or expressions shall have the meaning respectively assigned to them:</w:t>
      </w:r>
    </w:p>
    <w:p w:rsidR="005E5B48" w:rsidRPr="003948BA" w:rsidRDefault="005E5B48">
      <w:pPr>
        <w:pStyle w:val="BodyText"/>
        <w:spacing w:before="8"/>
        <w:rPr>
          <w:sz w:val="19"/>
        </w:rPr>
      </w:pPr>
    </w:p>
    <w:p w:rsidR="005E5B48" w:rsidRPr="003948BA" w:rsidRDefault="00814043">
      <w:pPr>
        <w:pStyle w:val="BodyText"/>
        <w:ind w:left="1460" w:right="1010"/>
        <w:jc w:val="both"/>
      </w:pPr>
      <w:r w:rsidRPr="003948BA">
        <w:rPr>
          <w:b/>
        </w:rPr>
        <w:t xml:space="preserve">“Accounting Date” </w:t>
      </w:r>
      <w:r w:rsidRPr="003948BA">
        <w:t xml:space="preserve">means the thirtieth day of June in each year or any interim date as decided by the Management Company from time to time </w:t>
      </w:r>
      <w:r w:rsidRPr="003948BA">
        <w:rPr>
          <w:spacing w:val="1"/>
        </w:rPr>
        <w:t xml:space="preserve">on </w:t>
      </w:r>
      <w:r w:rsidRPr="003948BA">
        <w:t>which the financial statements of the Trust are drawn up. Provided that the Management Company may, with the written consent of the Trustee and after obtaining approval from the Commission and the Commissioner of Income Tax may change such date to any other date and such change shall be intimated to the</w:t>
      </w:r>
      <w:r w:rsidRPr="003948BA">
        <w:rPr>
          <w:spacing w:val="1"/>
        </w:rPr>
        <w:t xml:space="preserve"> </w:t>
      </w:r>
      <w:r w:rsidRPr="003948BA">
        <w:t>Commission.</w:t>
      </w:r>
    </w:p>
    <w:p w:rsidR="005E5B48" w:rsidRPr="003948BA" w:rsidRDefault="005E5B48">
      <w:pPr>
        <w:pStyle w:val="BodyText"/>
        <w:spacing w:before="10"/>
        <w:rPr>
          <w:sz w:val="19"/>
        </w:rPr>
      </w:pPr>
    </w:p>
    <w:p w:rsidR="005E5B48" w:rsidRPr="003948BA" w:rsidRDefault="00814043">
      <w:pPr>
        <w:ind w:left="1460" w:right="1014"/>
        <w:jc w:val="both"/>
        <w:rPr>
          <w:sz w:val="20"/>
        </w:rPr>
      </w:pPr>
      <w:r w:rsidRPr="003948BA">
        <w:rPr>
          <w:b/>
          <w:sz w:val="20"/>
        </w:rPr>
        <w:t xml:space="preserve">“Account Opening / Investment Account Opening Form” </w:t>
      </w:r>
      <w:r w:rsidRPr="003948BA">
        <w:rPr>
          <w:sz w:val="20"/>
        </w:rPr>
        <w:t>means standardized form prescribed by the Management Company to be duly filled by the investors at the time of opening an account with the Fund.</w:t>
      </w:r>
    </w:p>
    <w:p w:rsidR="005E5B48" w:rsidRPr="003948BA" w:rsidRDefault="005E5B48">
      <w:pPr>
        <w:pStyle w:val="BodyText"/>
      </w:pPr>
    </w:p>
    <w:p w:rsidR="005E5B48" w:rsidRPr="003948BA" w:rsidRDefault="00814043">
      <w:pPr>
        <w:pStyle w:val="BodyText"/>
        <w:spacing w:line="242" w:lineRule="auto"/>
        <w:ind w:left="1460" w:right="1017"/>
        <w:jc w:val="both"/>
      </w:pPr>
      <w:r w:rsidRPr="003948BA">
        <w:rPr>
          <w:b/>
        </w:rPr>
        <w:t xml:space="preserve">“Accounting Period” </w:t>
      </w:r>
      <w:r w:rsidRPr="003948BA">
        <w:t>means a period ending on and including an accounting date and commencing (in case of the first such period) on the date immediately after the close of IPO and (in any other case) from the next day of the preceding accounting period.</w:t>
      </w:r>
    </w:p>
    <w:p w:rsidR="005E5B48" w:rsidRPr="003948BA" w:rsidRDefault="005E5B48">
      <w:pPr>
        <w:pStyle w:val="BodyText"/>
        <w:spacing w:before="1"/>
        <w:rPr>
          <w:sz w:val="19"/>
        </w:rPr>
      </w:pPr>
    </w:p>
    <w:p w:rsidR="005E5B48" w:rsidRPr="003948BA" w:rsidRDefault="005E5B48">
      <w:pPr>
        <w:pStyle w:val="BodyText"/>
        <w:spacing w:before="5"/>
        <w:rPr>
          <w:sz w:val="19"/>
        </w:rPr>
      </w:pPr>
    </w:p>
    <w:p w:rsidR="005E5B48" w:rsidRPr="003948BA" w:rsidRDefault="00814043">
      <w:pPr>
        <w:pStyle w:val="BodyText"/>
        <w:spacing w:line="242" w:lineRule="auto"/>
        <w:ind w:left="1460" w:right="1010"/>
        <w:jc w:val="both"/>
      </w:pPr>
      <w:r w:rsidRPr="003948BA">
        <w:rPr>
          <w:b/>
        </w:rPr>
        <w:t xml:space="preserve">“Allocation Plan(s)” </w:t>
      </w:r>
      <w:r w:rsidRPr="003948BA">
        <w:t>mean(s) approved allocation plan(s) offered under the Scheme. Each Allocation Plan shall invest only in permissible Shariah Compliant Collective Investment Schemes and/ or other instruments as approved by the Commission and Shariah Advisor. Details of the Allocation Plan(s) shall be disclosed in this Offering Document (clause 2.2.2) and any details regarding additional Allocation Plans shall be disclosed in the subsequent supplementary Offering Documents</w:t>
      </w:r>
    </w:p>
    <w:p w:rsidR="005E5B48" w:rsidRPr="003948BA" w:rsidRDefault="005E5B48">
      <w:pPr>
        <w:pStyle w:val="BodyText"/>
        <w:spacing w:before="5"/>
        <w:rPr>
          <w:sz w:val="19"/>
        </w:rPr>
      </w:pPr>
    </w:p>
    <w:p w:rsidR="005E5B48" w:rsidRPr="003948BA" w:rsidRDefault="00814043">
      <w:pPr>
        <w:spacing w:before="1"/>
        <w:ind w:left="1460" w:right="1012"/>
        <w:jc w:val="both"/>
        <w:rPr>
          <w:sz w:val="20"/>
        </w:rPr>
      </w:pPr>
      <w:r w:rsidRPr="003948BA">
        <w:rPr>
          <w:b/>
          <w:sz w:val="20"/>
        </w:rPr>
        <w:t xml:space="preserve">“Annual Accounting Period” or “Financial Year” </w:t>
      </w:r>
      <w:r w:rsidRPr="003948BA">
        <w:rPr>
          <w:sz w:val="20"/>
        </w:rPr>
        <w:t>means the period commence on 1st July and shall end on 30th June of the succeeding calendar year.</w:t>
      </w:r>
    </w:p>
    <w:p w:rsidR="005E5B48" w:rsidRPr="003948BA" w:rsidRDefault="005E5B48">
      <w:pPr>
        <w:pStyle w:val="BodyText"/>
        <w:spacing w:before="7"/>
        <w:rPr>
          <w:sz w:val="19"/>
        </w:rPr>
      </w:pPr>
    </w:p>
    <w:p w:rsidR="005E5B48" w:rsidRPr="003948BA" w:rsidRDefault="00DF4903">
      <w:pPr>
        <w:spacing w:before="1" w:line="244" w:lineRule="auto"/>
        <w:ind w:left="1460" w:right="1020"/>
        <w:jc w:val="both"/>
        <w:rPr>
          <w:sz w:val="20"/>
        </w:rPr>
      </w:pPr>
      <w:r w:rsidRPr="003948BA">
        <w:rPr>
          <w:b/>
          <w:sz w:val="20"/>
        </w:rPr>
        <w:t>“Asset Management Company”/</w:t>
      </w:r>
      <w:r w:rsidR="00814043" w:rsidRPr="003948BA">
        <w:rPr>
          <w:b/>
          <w:sz w:val="20"/>
        </w:rPr>
        <w:t xml:space="preserve">AMC” </w:t>
      </w:r>
      <w:r w:rsidR="00814043" w:rsidRPr="003948BA">
        <w:rPr>
          <w:sz w:val="20"/>
        </w:rPr>
        <w:t>means an asset Management Company as defined in the Rules and Regulations.</w:t>
      </w:r>
    </w:p>
    <w:p w:rsidR="005E5B48" w:rsidRPr="003948BA" w:rsidRDefault="005E5B48">
      <w:pPr>
        <w:pStyle w:val="BodyText"/>
        <w:rPr>
          <w:sz w:val="19"/>
        </w:rPr>
      </w:pPr>
    </w:p>
    <w:p w:rsidR="005E5B48" w:rsidRPr="003948BA" w:rsidRDefault="00814043">
      <w:pPr>
        <w:pStyle w:val="BodyText"/>
        <w:spacing w:before="1" w:line="242" w:lineRule="auto"/>
        <w:ind w:left="1460" w:right="1021"/>
        <w:jc w:val="both"/>
      </w:pPr>
      <w:r w:rsidRPr="003948BA">
        <w:rPr>
          <w:b/>
        </w:rPr>
        <w:t xml:space="preserve">“Auditor” </w:t>
      </w:r>
      <w:r w:rsidRPr="003948BA">
        <w:t>means the Auditor of the Trust appointed by the Management Company, with the consent of the Trustee, as per the Regulations.</w:t>
      </w:r>
    </w:p>
    <w:p w:rsidR="005E5B48" w:rsidRPr="003948BA" w:rsidRDefault="005E5B48">
      <w:pPr>
        <w:pStyle w:val="BodyText"/>
        <w:spacing w:before="6"/>
        <w:rPr>
          <w:sz w:val="19"/>
        </w:rPr>
      </w:pPr>
    </w:p>
    <w:p w:rsidR="005E5B48" w:rsidRPr="003948BA" w:rsidRDefault="00814043">
      <w:pPr>
        <w:pStyle w:val="BodyText"/>
        <w:spacing w:line="242" w:lineRule="auto"/>
        <w:ind w:left="1460" w:right="1018"/>
        <w:jc w:val="both"/>
      </w:pPr>
      <w:r w:rsidRPr="003948BA">
        <w:rPr>
          <w:b/>
        </w:rPr>
        <w:t xml:space="preserve">“Authorized Branches” </w:t>
      </w:r>
      <w:r w:rsidRPr="003948BA">
        <w:t>means those Branches of Distributors or Distribution Companies which are allowed by the Management Company to deal in Units of the Funds managed by the Management Company.</w:t>
      </w:r>
    </w:p>
    <w:p w:rsidR="005E5B48" w:rsidRPr="003948BA" w:rsidRDefault="005E5B48">
      <w:pPr>
        <w:pStyle w:val="BodyText"/>
        <w:spacing w:before="4"/>
        <w:rPr>
          <w:sz w:val="19"/>
        </w:rPr>
      </w:pPr>
    </w:p>
    <w:p w:rsidR="005E5B48" w:rsidRPr="003948BA" w:rsidRDefault="00814043">
      <w:pPr>
        <w:spacing w:line="244" w:lineRule="auto"/>
        <w:ind w:left="1460" w:right="1018"/>
        <w:jc w:val="both"/>
        <w:rPr>
          <w:sz w:val="20"/>
        </w:rPr>
      </w:pPr>
      <w:r w:rsidRPr="003948BA">
        <w:rPr>
          <w:b/>
          <w:sz w:val="20"/>
        </w:rPr>
        <w:t xml:space="preserve">“Authorized Broker” </w:t>
      </w:r>
      <w:r w:rsidRPr="003948BA">
        <w:rPr>
          <w:sz w:val="20"/>
        </w:rPr>
        <w:t>means those Brokers which are authorized to deal in Government Securities.</w:t>
      </w:r>
    </w:p>
    <w:p w:rsidR="005E5B48" w:rsidRPr="003948BA" w:rsidRDefault="005E5B48">
      <w:pPr>
        <w:pStyle w:val="BodyText"/>
        <w:spacing w:before="1"/>
        <w:rPr>
          <w:sz w:val="19"/>
        </w:rPr>
      </w:pPr>
    </w:p>
    <w:p w:rsidR="005E5B48" w:rsidRPr="003948BA" w:rsidRDefault="00814043">
      <w:pPr>
        <w:pStyle w:val="Heading5"/>
        <w:ind w:left="1460" w:firstLine="0"/>
        <w:jc w:val="both"/>
      </w:pPr>
      <w:r w:rsidRPr="003948BA">
        <w:t>“Authorized Investments”</w:t>
      </w:r>
    </w:p>
    <w:p w:rsidR="005E5B48" w:rsidRPr="003948BA" w:rsidRDefault="00814043">
      <w:pPr>
        <w:pStyle w:val="BodyText"/>
        <w:spacing w:before="8"/>
        <w:ind w:left="1460" w:right="1016"/>
        <w:jc w:val="both"/>
      </w:pPr>
      <w:r w:rsidRPr="003948BA">
        <w:t>Authorized Investments are those as defined below clause 2.2.3 and clause 2.2.15.1 of this Offering Document</w:t>
      </w:r>
    </w:p>
    <w:p w:rsidR="001A0A70" w:rsidRPr="003948BA" w:rsidRDefault="001A0A70">
      <w:pPr>
        <w:pStyle w:val="BodyText"/>
        <w:spacing w:before="8"/>
        <w:ind w:left="1460" w:right="1016"/>
        <w:jc w:val="both"/>
      </w:pPr>
    </w:p>
    <w:p w:rsidR="004F5E92" w:rsidRPr="003948BA" w:rsidRDefault="001A0A70" w:rsidP="00947CC9">
      <w:pPr>
        <w:pStyle w:val="Heading5"/>
        <w:ind w:left="1460" w:firstLine="0"/>
        <w:rPr>
          <w:b w:val="0"/>
        </w:rPr>
      </w:pPr>
      <w:r w:rsidRPr="003948BA">
        <w:t xml:space="preserve">“Back-End Load (Deferred Sales Load)” </w:t>
      </w:r>
      <w:r w:rsidR="0081508A" w:rsidRPr="003948BA">
        <w:rPr>
          <w:b w:val="0"/>
        </w:rPr>
        <w:t>means charge deducted from the Net Asset Value</w:t>
      </w:r>
    </w:p>
    <w:p w:rsidR="004F5E92" w:rsidRPr="003948BA" w:rsidRDefault="0081508A" w:rsidP="00947CC9">
      <w:pPr>
        <w:pStyle w:val="Heading5"/>
        <w:ind w:left="1460" w:firstLine="0"/>
        <w:rPr>
          <w:b w:val="0"/>
        </w:rPr>
      </w:pPr>
      <w:r w:rsidRPr="003948BA">
        <w:rPr>
          <w:b w:val="0"/>
        </w:rPr>
        <w:t xml:space="preserve"> in determining the Redemption Price; provided however that different levels of Back-End </w:t>
      </w:r>
    </w:p>
    <w:p w:rsidR="004F5E92" w:rsidRPr="003948BA" w:rsidRDefault="0081508A" w:rsidP="00947CC9">
      <w:pPr>
        <w:pStyle w:val="Heading5"/>
        <w:ind w:left="1460" w:firstLine="0"/>
        <w:rPr>
          <w:b w:val="0"/>
        </w:rPr>
      </w:pPr>
      <w:r w:rsidRPr="003948BA">
        <w:rPr>
          <w:b w:val="0"/>
        </w:rPr>
        <w:t xml:space="preserve">Load (Deferred Sales Load) may be applied to different classes of Units of underlying Allocation </w:t>
      </w:r>
    </w:p>
    <w:p w:rsidR="004F5E92" w:rsidRPr="003948BA" w:rsidRDefault="0081508A" w:rsidP="00947CC9">
      <w:pPr>
        <w:pStyle w:val="Heading5"/>
        <w:ind w:left="1460" w:firstLine="0"/>
        <w:rPr>
          <w:b w:val="0"/>
        </w:rPr>
      </w:pPr>
      <w:r w:rsidRPr="003948BA">
        <w:rPr>
          <w:b w:val="0"/>
        </w:rPr>
        <w:t xml:space="preserve">Plans. But Unit Holders within a class shall be charged same level of back-end load (deferred </w:t>
      </w:r>
    </w:p>
    <w:p w:rsidR="00947CC9" w:rsidRPr="003948BA" w:rsidRDefault="0081508A" w:rsidP="00947CC9">
      <w:pPr>
        <w:pStyle w:val="Heading5"/>
        <w:ind w:left="1460" w:firstLine="0"/>
        <w:rPr>
          <w:b w:val="0"/>
        </w:rPr>
      </w:pPr>
      <w:r w:rsidRPr="003948BA">
        <w:rPr>
          <w:b w:val="0"/>
        </w:rPr>
        <w:t>sales load) as disclosed in the Offering Document. This charge</w:t>
      </w:r>
      <w:r w:rsidR="001A0A70" w:rsidRPr="003948BA">
        <w:rPr>
          <w:b w:val="0"/>
        </w:rPr>
        <w:t xml:space="preserve"> shall not form part of the </w:t>
      </w:r>
    </w:p>
    <w:p w:rsidR="001A0A70" w:rsidRPr="003948BA" w:rsidRDefault="001A0A70" w:rsidP="00A25958">
      <w:pPr>
        <w:pStyle w:val="Heading5"/>
        <w:ind w:left="1460" w:firstLine="0"/>
        <w:rPr>
          <w:b w:val="0"/>
        </w:rPr>
      </w:pPr>
      <w:r w:rsidRPr="003948BA">
        <w:rPr>
          <w:b w:val="0"/>
        </w:rPr>
        <w:t>Trust Property of the Scheme or any underlying Allocation Plan.</w:t>
      </w:r>
    </w:p>
    <w:p w:rsidR="005E5B48" w:rsidRPr="003948BA" w:rsidRDefault="005E5B48">
      <w:pPr>
        <w:pStyle w:val="BodyText"/>
        <w:rPr>
          <w:sz w:val="22"/>
        </w:rPr>
      </w:pPr>
    </w:p>
    <w:p w:rsidR="005E5B48" w:rsidRPr="003948BA" w:rsidRDefault="005E5B48">
      <w:pPr>
        <w:pStyle w:val="BodyText"/>
        <w:spacing w:before="8"/>
        <w:rPr>
          <w:sz w:val="17"/>
        </w:rPr>
      </w:pPr>
    </w:p>
    <w:p w:rsidR="008D0B58" w:rsidRPr="003948BA" w:rsidRDefault="008D0B58" w:rsidP="008D0B58">
      <w:pPr>
        <w:pStyle w:val="BodyText"/>
        <w:ind w:left="1460" w:right="1025"/>
        <w:jc w:val="both"/>
      </w:pPr>
      <w:r w:rsidRPr="003948BA">
        <w:rPr>
          <w:b/>
        </w:rPr>
        <w:t xml:space="preserve">“Bank” </w:t>
      </w:r>
      <w:r w:rsidRPr="003948BA">
        <w:t>means institution(s) providing banking services under the Banking Companies Ordinance, 1962, or any other regulation in force for the time being in Pakistan, or if operating outside Pakistan, under the banking laws of the jurisdiction of its operation outside Pakistan.</w:t>
      </w:r>
    </w:p>
    <w:p w:rsidR="008D0B58" w:rsidRPr="003948BA" w:rsidRDefault="008D0B58" w:rsidP="008D0B58">
      <w:pPr>
        <w:pStyle w:val="BodyText"/>
        <w:spacing w:before="9"/>
        <w:rPr>
          <w:sz w:val="19"/>
        </w:rPr>
      </w:pPr>
    </w:p>
    <w:p w:rsidR="008D0B58" w:rsidRPr="003948BA" w:rsidRDefault="008D0B58" w:rsidP="008D0B58">
      <w:pPr>
        <w:pStyle w:val="BodyText"/>
        <w:spacing w:line="242" w:lineRule="auto"/>
        <w:ind w:left="1460" w:right="1004"/>
        <w:jc w:val="both"/>
      </w:pPr>
      <w:r w:rsidRPr="003948BA">
        <w:rPr>
          <w:b/>
        </w:rPr>
        <w:lastRenderedPageBreak/>
        <w:t xml:space="preserve">“Bank Accounts” </w:t>
      </w:r>
      <w:r w:rsidRPr="003948BA">
        <w:t>means those account(s) opened and maintained for the Fund</w:t>
      </w:r>
      <w:r w:rsidR="00A5186A" w:rsidRPr="003948BA">
        <w:t xml:space="preserve"> and </w:t>
      </w:r>
      <w:r w:rsidR="00876114" w:rsidRPr="003948BA">
        <w:t xml:space="preserve">/or </w:t>
      </w:r>
      <w:r w:rsidR="00A5186A" w:rsidRPr="003948BA">
        <w:t xml:space="preserve">the </w:t>
      </w:r>
      <w:r w:rsidR="00876114" w:rsidRPr="003948BA">
        <w:t>Underlying Plans</w:t>
      </w:r>
      <w:r w:rsidRPr="003948BA">
        <w:t xml:space="preserve"> by the Trustee at the instruction of the Management Company at Banks, the beneficial ownerships in which shall vest in the Unit Holder(s).</w:t>
      </w:r>
    </w:p>
    <w:p w:rsidR="005E5B48" w:rsidRPr="003948BA" w:rsidRDefault="005E5B48">
      <w:pPr>
        <w:pStyle w:val="BodyText"/>
        <w:spacing w:before="2"/>
        <w:rPr>
          <w:sz w:val="19"/>
        </w:rPr>
      </w:pPr>
    </w:p>
    <w:p w:rsidR="009A77F6" w:rsidRPr="003948BA" w:rsidRDefault="009A77F6" w:rsidP="00BB24F4">
      <w:pPr>
        <w:adjustRightInd w:val="0"/>
        <w:ind w:left="1440" w:right="890"/>
        <w:jc w:val="both"/>
        <w:rPr>
          <w:szCs w:val="24"/>
        </w:rPr>
      </w:pPr>
      <w:r w:rsidRPr="003948BA">
        <w:rPr>
          <w:b/>
          <w:sz w:val="20"/>
          <w:szCs w:val="24"/>
        </w:rPr>
        <w:t>“Bond Event”</w:t>
      </w:r>
      <w:r w:rsidR="0059144A" w:rsidRPr="003948BA">
        <w:t xml:space="preserve"> (</w:t>
      </w:r>
      <w:r w:rsidR="0059144A" w:rsidRPr="003948BA">
        <w:rPr>
          <w:b/>
          <w:sz w:val="20"/>
          <w:szCs w:val="24"/>
        </w:rPr>
        <w:t xml:space="preserve">for </w:t>
      </w:r>
      <w:r w:rsidR="00725249">
        <w:rPr>
          <w:b/>
          <w:sz w:val="20"/>
          <w:szCs w:val="24"/>
        </w:rPr>
        <w:t>CPPI Based</w:t>
      </w:r>
      <w:r w:rsidR="0059144A" w:rsidRPr="003948BA">
        <w:rPr>
          <w:b/>
          <w:sz w:val="20"/>
          <w:szCs w:val="24"/>
        </w:rPr>
        <w:t xml:space="preserve"> Plan) </w:t>
      </w:r>
      <w:r w:rsidRPr="003948BA">
        <w:rPr>
          <w:sz w:val="20"/>
          <w:szCs w:val="24"/>
        </w:rPr>
        <w:t xml:space="preserve"> </w:t>
      </w:r>
      <w:r w:rsidRPr="003948BA">
        <w:rPr>
          <w:szCs w:val="24"/>
        </w:rPr>
        <w:t xml:space="preserve">means a trigger point, whereby Plan’s Net Assets is about to hit or actually hits the Bond Floor, which if reached will cause the Plan’s Net Assets to be invested hundred percent (100%) in the Principal Preservation Segment till the remaining Life of the Plan. From thereon, there shall be no further exposure in the Investment Segment of the Plan. </w:t>
      </w:r>
    </w:p>
    <w:p w:rsidR="009A77F6" w:rsidRPr="003948BA" w:rsidRDefault="009A77F6" w:rsidP="009A77F6">
      <w:pPr>
        <w:tabs>
          <w:tab w:val="left" w:pos="360"/>
        </w:tabs>
        <w:adjustRightInd w:val="0"/>
        <w:ind w:left="720"/>
        <w:jc w:val="both"/>
        <w:rPr>
          <w:szCs w:val="24"/>
        </w:rPr>
      </w:pPr>
    </w:p>
    <w:p w:rsidR="009A77F6" w:rsidRPr="003948BA" w:rsidRDefault="009A77F6" w:rsidP="009A77F6">
      <w:pPr>
        <w:pStyle w:val="BodyText"/>
        <w:spacing w:before="93" w:line="242" w:lineRule="auto"/>
        <w:ind w:left="1460" w:right="1030"/>
        <w:jc w:val="both"/>
        <w:rPr>
          <w:b/>
        </w:rPr>
      </w:pPr>
      <w:r w:rsidRPr="003948BA">
        <w:rPr>
          <w:b/>
          <w:szCs w:val="24"/>
        </w:rPr>
        <w:t>“Bond Floor”</w:t>
      </w:r>
      <w:r w:rsidRPr="003948BA">
        <w:rPr>
          <w:szCs w:val="24"/>
        </w:rPr>
        <w:t xml:space="preserve"> </w:t>
      </w:r>
      <w:r w:rsidR="0059144A" w:rsidRPr="003948BA">
        <w:t>(</w:t>
      </w:r>
      <w:r w:rsidR="0059144A" w:rsidRPr="003948BA">
        <w:rPr>
          <w:b/>
          <w:szCs w:val="24"/>
        </w:rPr>
        <w:t xml:space="preserve">for </w:t>
      </w:r>
      <w:r w:rsidR="00725249">
        <w:rPr>
          <w:b/>
          <w:szCs w:val="24"/>
        </w:rPr>
        <w:t>CPPI Based</w:t>
      </w:r>
      <w:r w:rsidR="0059144A" w:rsidRPr="003948BA">
        <w:rPr>
          <w:b/>
          <w:szCs w:val="24"/>
        </w:rPr>
        <w:t xml:space="preserve"> Plan) </w:t>
      </w:r>
      <w:r w:rsidRPr="003948BA">
        <w:rPr>
          <w:szCs w:val="24"/>
        </w:rPr>
        <w:t>means the present value of the Initial Plan Size (adjusted for redemptions, if any, during the Life of the Plan and inclusive of any Front-end Load). It can be defined as the minimum value the Plan should have on a given day, to be able to provide Principal Preservation of the Initial Investment Value, if investments are held for</w:t>
      </w:r>
      <w:r w:rsidR="00E36E51" w:rsidRPr="003948BA">
        <w:rPr>
          <w:szCs w:val="24"/>
        </w:rPr>
        <w:t xml:space="preserve"> </w:t>
      </w:r>
      <w:r w:rsidRPr="003948BA">
        <w:rPr>
          <w:szCs w:val="24"/>
        </w:rPr>
        <w:t xml:space="preserve">twenty four months and beyond till maturity of the plan. The Bond Floor value shall be calculated using yield of authorized investment(s) from the Principal Preservation Segment of Plan, that potentially yields a return higher than or at least equal to the yield required to provide Principal Preservation to the Unit Holders, subject to Clause 1.12 and Clause 2.2.22 at completion of </w:t>
      </w:r>
      <w:r w:rsidRPr="003948BA">
        <w:rPr>
          <w:bCs/>
          <w:color w:val="231F20"/>
          <w:szCs w:val="24"/>
        </w:rPr>
        <w:t>twenty four months and beyond till maturity of the plan</w:t>
      </w:r>
    </w:p>
    <w:p w:rsidR="005E5B48" w:rsidRPr="003948BA" w:rsidRDefault="00814043">
      <w:pPr>
        <w:pStyle w:val="BodyText"/>
        <w:spacing w:before="93" w:line="242" w:lineRule="auto"/>
        <w:ind w:left="1460" w:right="1030"/>
        <w:jc w:val="both"/>
      </w:pPr>
      <w:r w:rsidRPr="003948BA">
        <w:rPr>
          <w:b/>
        </w:rPr>
        <w:t xml:space="preserve">“Broker” </w:t>
      </w:r>
      <w:r w:rsidRPr="003948BA">
        <w:t>means any person engaged in the business of effecting transactions in securities for the account of others.</w:t>
      </w:r>
    </w:p>
    <w:p w:rsidR="005E5B48" w:rsidRPr="003948BA" w:rsidRDefault="005E5B48">
      <w:pPr>
        <w:pStyle w:val="BodyText"/>
        <w:spacing w:before="6"/>
        <w:rPr>
          <w:sz w:val="19"/>
        </w:rPr>
      </w:pPr>
    </w:p>
    <w:p w:rsidR="005E5B48" w:rsidRPr="003948BA" w:rsidRDefault="00814043">
      <w:pPr>
        <w:pStyle w:val="BodyText"/>
        <w:spacing w:line="242" w:lineRule="auto"/>
        <w:ind w:left="1460" w:right="1014"/>
        <w:jc w:val="both"/>
      </w:pPr>
      <w:r w:rsidRPr="003948BA">
        <w:rPr>
          <w:b/>
        </w:rPr>
        <w:t xml:space="preserve">“Business Day” </w:t>
      </w:r>
      <w:r w:rsidRPr="003948BA">
        <w:t xml:space="preserve">means any day on which </w:t>
      </w:r>
      <w:r w:rsidR="00D662E2">
        <w:t xml:space="preserve">scheduled </w:t>
      </w:r>
      <w:r w:rsidRPr="003948BA">
        <w:t>banks</w:t>
      </w:r>
      <w:r w:rsidR="00FB0549">
        <w:t xml:space="preserve"> </w:t>
      </w:r>
      <w:r w:rsidR="00B512CB">
        <w:t xml:space="preserve">and, </w:t>
      </w:r>
      <w:r w:rsidR="00FB0549">
        <w:t>Pakistan Stock Exchange</w:t>
      </w:r>
      <w:r w:rsidRPr="003948BA">
        <w:t xml:space="preserve">, and the Management Company </w:t>
      </w:r>
      <w:r w:rsidR="00FB0549">
        <w:t>are</w:t>
      </w:r>
      <w:r w:rsidR="00FB0549" w:rsidRPr="003948BA">
        <w:t xml:space="preserve"> </w:t>
      </w:r>
      <w:r w:rsidRPr="003948BA">
        <w:t>open for business in Pakistan.</w:t>
      </w:r>
    </w:p>
    <w:p w:rsidR="005E5B48" w:rsidRPr="003948BA" w:rsidRDefault="009A77F6">
      <w:pPr>
        <w:pStyle w:val="BodyText"/>
        <w:spacing w:before="8"/>
        <w:rPr>
          <w:sz w:val="19"/>
        </w:rPr>
      </w:pPr>
      <w:r w:rsidRPr="003948BA">
        <w:rPr>
          <w:sz w:val="19"/>
        </w:rPr>
        <w:tab/>
      </w:r>
      <w:r w:rsidRPr="003948BA">
        <w:rPr>
          <w:sz w:val="19"/>
        </w:rPr>
        <w:tab/>
      </w:r>
    </w:p>
    <w:p w:rsidR="009A77F6" w:rsidRPr="003948BA" w:rsidRDefault="009A77F6" w:rsidP="00366F2F">
      <w:pPr>
        <w:pStyle w:val="BodyText"/>
        <w:spacing w:before="8"/>
        <w:ind w:left="1440" w:right="1070"/>
        <w:jc w:val="both"/>
        <w:rPr>
          <w:szCs w:val="24"/>
        </w:rPr>
      </w:pPr>
      <w:r w:rsidRPr="003948BA">
        <w:rPr>
          <w:b/>
          <w:szCs w:val="24"/>
        </w:rPr>
        <w:t>“Principal Preservation</w:t>
      </w:r>
      <w:r w:rsidR="00725249">
        <w:rPr>
          <w:b/>
          <w:szCs w:val="24"/>
        </w:rPr>
        <w:t xml:space="preserve"> (for CPPI Based Plan)</w:t>
      </w:r>
      <w:r w:rsidRPr="003948BA">
        <w:rPr>
          <w:b/>
          <w:szCs w:val="24"/>
        </w:rPr>
        <w:t>”</w:t>
      </w:r>
      <w:r w:rsidRPr="003948BA">
        <w:rPr>
          <w:szCs w:val="24"/>
        </w:rPr>
        <w:t xml:space="preserve"> means that the investment strategy of the Plan is such that the Net Realizable Value of investment should not fall below the Initial Investment Value, if the Units are held </w:t>
      </w:r>
      <w:r w:rsidR="008715B3">
        <w:rPr>
          <w:szCs w:val="24"/>
        </w:rPr>
        <w:t xml:space="preserve">till </w:t>
      </w:r>
      <w:r w:rsidR="00B512CB">
        <w:rPr>
          <w:szCs w:val="24"/>
        </w:rPr>
        <w:t>maturity as per the investment policy of the respective Allocation Plan(s) defined in the Offering Document</w:t>
      </w:r>
      <w:r w:rsidR="008715B3">
        <w:rPr>
          <w:szCs w:val="24"/>
        </w:rPr>
        <w:t>.</w:t>
      </w:r>
      <w:r w:rsidR="00B512CB">
        <w:rPr>
          <w:szCs w:val="24"/>
        </w:rPr>
        <w:t xml:space="preserve"> </w:t>
      </w:r>
      <w:r w:rsidRPr="003948BA">
        <w:rPr>
          <w:szCs w:val="24"/>
        </w:rPr>
        <w:t xml:space="preserve">The Management Company envisages the provision of </w:t>
      </w:r>
      <w:r w:rsidR="008E7961" w:rsidRPr="003948BA">
        <w:rPr>
          <w:szCs w:val="24"/>
        </w:rPr>
        <w:t>Principal</w:t>
      </w:r>
      <w:r w:rsidRPr="003948BA">
        <w:rPr>
          <w:szCs w:val="24"/>
        </w:rPr>
        <w:t xml:space="preserve"> Preservation through the use of the Constant Proportion Portfolio Insurance (CPPI) Methodology.</w:t>
      </w:r>
    </w:p>
    <w:p w:rsidR="009A77F6" w:rsidRPr="003948BA" w:rsidRDefault="009A77F6" w:rsidP="00366F2F">
      <w:pPr>
        <w:pStyle w:val="BodyText"/>
        <w:spacing w:before="8"/>
        <w:ind w:left="1440" w:right="1070"/>
        <w:jc w:val="both"/>
        <w:rPr>
          <w:sz w:val="19"/>
        </w:rPr>
      </w:pPr>
    </w:p>
    <w:p w:rsidR="00134789" w:rsidRPr="003948BA" w:rsidRDefault="00134789" w:rsidP="00366F2F">
      <w:pPr>
        <w:pStyle w:val="BodyText"/>
        <w:spacing w:before="8"/>
        <w:ind w:left="1440" w:right="1070"/>
        <w:jc w:val="both"/>
        <w:rPr>
          <w:sz w:val="19"/>
        </w:rPr>
      </w:pPr>
      <w:r w:rsidRPr="003948BA">
        <w:rPr>
          <w:b/>
          <w:sz w:val="19"/>
        </w:rPr>
        <w:t>“Charity”</w:t>
      </w:r>
      <w:r w:rsidRPr="003948BA">
        <w:rPr>
          <w:sz w:val="19"/>
        </w:rPr>
        <w:t xml:space="preserve"> means amount paid by the Trustee, upon instruction of the Management Company and in consultation with the Shariah Advisor, out of the income of the Fund to Charitable Trust/welfare organization, representing income which is impermissible /Haram.</w:t>
      </w:r>
    </w:p>
    <w:p w:rsidR="00134789" w:rsidRPr="003948BA" w:rsidRDefault="00134789" w:rsidP="009A77F6">
      <w:pPr>
        <w:pStyle w:val="BodyText"/>
        <w:spacing w:before="8"/>
        <w:ind w:left="1440"/>
        <w:rPr>
          <w:sz w:val="19"/>
        </w:rPr>
      </w:pPr>
    </w:p>
    <w:p w:rsidR="009A77F6" w:rsidRPr="003948BA" w:rsidRDefault="009A77F6" w:rsidP="009A77F6">
      <w:pPr>
        <w:adjustRightInd w:val="0"/>
        <w:ind w:left="720" w:firstLine="720"/>
        <w:rPr>
          <w:color w:val="000000"/>
          <w:sz w:val="20"/>
          <w:szCs w:val="20"/>
        </w:rPr>
      </w:pPr>
      <w:r w:rsidRPr="003948BA">
        <w:rPr>
          <w:b/>
          <w:bCs/>
          <w:color w:val="000000"/>
          <w:sz w:val="20"/>
          <w:szCs w:val="20"/>
        </w:rPr>
        <w:t>“</w:t>
      </w:r>
      <w:r w:rsidRPr="00725249">
        <w:rPr>
          <w:b/>
          <w:sz w:val="20"/>
          <w:szCs w:val="24"/>
        </w:rPr>
        <w:t>CPPI</w:t>
      </w:r>
      <w:r w:rsidR="00725249" w:rsidRPr="00725249">
        <w:rPr>
          <w:b/>
          <w:sz w:val="20"/>
          <w:szCs w:val="24"/>
        </w:rPr>
        <w:t xml:space="preserve"> (for CPPI Based Plan)</w:t>
      </w:r>
      <w:r w:rsidRPr="00725249">
        <w:rPr>
          <w:b/>
          <w:sz w:val="20"/>
          <w:szCs w:val="24"/>
        </w:rPr>
        <w:t>”</w:t>
      </w:r>
      <w:r w:rsidRPr="003948BA">
        <w:rPr>
          <w:b/>
          <w:bCs/>
          <w:color w:val="000000"/>
          <w:sz w:val="20"/>
          <w:szCs w:val="20"/>
        </w:rPr>
        <w:t xml:space="preserve"> </w:t>
      </w:r>
      <w:r w:rsidRPr="003948BA">
        <w:rPr>
          <w:color w:val="000000"/>
          <w:sz w:val="20"/>
          <w:szCs w:val="20"/>
        </w:rPr>
        <w:t xml:space="preserve">means Constant Proportion Portfolio Insurance. </w:t>
      </w:r>
    </w:p>
    <w:p w:rsidR="009A77F6" w:rsidRPr="003948BA" w:rsidRDefault="009A77F6" w:rsidP="009A77F6">
      <w:pPr>
        <w:adjustRightInd w:val="0"/>
        <w:ind w:firstLine="720"/>
        <w:rPr>
          <w:color w:val="000000"/>
          <w:sz w:val="20"/>
          <w:szCs w:val="20"/>
        </w:rPr>
      </w:pPr>
    </w:p>
    <w:p w:rsidR="009A77F6" w:rsidRPr="003948BA" w:rsidRDefault="009A77F6" w:rsidP="00366F2F">
      <w:pPr>
        <w:pStyle w:val="BodyText"/>
        <w:spacing w:before="8"/>
        <w:ind w:left="1440" w:right="1070"/>
        <w:jc w:val="both"/>
        <w:rPr>
          <w:sz w:val="19"/>
        </w:rPr>
      </w:pPr>
      <w:r w:rsidRPr="003948BA">
        <w:rPr>
          <w:b/>
          <w:bCs/>
          <w:color w:val="000000"/>
        </w:rPr>
        <w:t>“CPPI Methodology</w:t>
      </w:r>
      <w:r w:rsidR="00725249">
        <w:rPr>
          <w:b/>
          <w:bCs/>
          <w:color w:val="000000"/>
        </w:rPr>
        <w:t xml:space="preserve"> </w:t>
      </w:r>
      <w:r w:rsidR="00725249">
        <w:rPr>
          <w:b/>
          <w:szCs w:val="24"/>
        </w:rPr>
        <w:t>(for CPPI Based Plan)</w:t>
      </w:r>
      <w:r w:rsidRPr="003948BA">
        <w:rPr>
          <w:b/>
          <w:bCs/>
          <w:color w:val="000000"/>
        </w:rPr>
        <w:t xml:space="preserve">” </w:t>
      </w:r>
      <w:r w:rsidRPr="003948BA">
        <w:rPr>
          <w:color w:val="000000"/>
        </w:rPr>
        <w:t xml:space="preserve">is an internationally recognized, dynamic asset allocation methodology comprising of a versatile and flexible framework that allocates plan’s Net Assets between </w:t>
      </w:r>
      <w:r w:rsidRPr="003948BA">
        <w:t xml:space="preserve">Islamic </w:t>
      </w:r>
      <w:r w:rsidRPr="003948BA">
        <w:rPr>
          <w:color w:val="000000"/>
        </w:rPr>
        <w:t xml:space="preserve">Equity and Islamic Money Market/Sovereign income Schemes in a way that the exposure to </w:t>
      </w:r>
      <w:r w:rsidRPr="003948BA">
        <w:t xml:space="preserve">Islamic </w:t>
      </w:r>
      <w:r w:rsidRPr="003948BA">
        <w:rPr>
          <w:color w:val="000000"/>
        </w:rPr>
        <w:t xml:space="preserve">equity is increased as Plan’s Net Assets increases and reduced as Plan’s Net Assets declines, while simultaneously aiming to provide </w:t>
      </w:r>
      <w:r w:rsidR="008E7961" w:rsidRPr="003948BA">
        <w:rPr>
          <w:color w:val="000000"/>
        </w:rPr>
        <w:t>principal</w:t>
      </w:r>
      <w:r w:rsidRPr="003948BA">
        <w:rPr>
          <w:color w:val="000000"/>
        </w:rPr>
        <w:t xml:space="preserve"> Preservation at completion of twenty four months and beyond till maturity of the plan.</w:t>
      </w:r>
    </w:p>
    <w:p w:rsidR="009A77F6" w:rsidRPr="003948BA" w:rsidRDefault="009A77F6" w:rsidP="009A77F6">
      <w:pPr>
        <w:pStyle w:val="BodyText"/>
        <w:spacing w:before="8"/>
        <w:ind w:left="1440"/>
        <w:rPr>
          <w:sz w:val="19"/>
        </w:rPr>
      </w:pPr>
    </w:p>
    <w:p w:rsidR="005E5B48" w:rsidRPr="003948BA" w:rsidRDefault="00814043">
      <w:pPr>
        <w:pStyle w:val="BodyText"/>
        <w:spacing w:before="1" w:line="242" w:lineRule="auto"/>
        <w:ind w:left="1460" w:right="1011"/>
        <w:jc w:val="both"/>
      </w:pPr>
      <w:r w:rsidRPr="003948BA">
        <w:rPr>
          <w:b/>
        </w:rPr>
        <w:t xml:space="preserve">“Certificate” </w:t>
      </w:r>
      <w:r w:rsidRPr="003948BA">
        <w:t>means the definitive certificate acknowledging the number of Units registered in the name of the Unit Holder issued at the request of the Unit Holder pursuant to the provisions of the Trust</w:t>
      </w:r>
      <w:r w:rsidRPr="003948BA">
        <w:rPr>
          <w:spacing w:val="-7"/>
        </w:rPr>
        <w:t xml:space="preserve"> </w:t>
      </w:r>
      <w:r w:rsidRPr="003948BA">
        <w:t>Deed.</w:t>
      </w:r>
    </w:p>
    <w:p w:rsidR="005E5B48" w:rsidRPr="003948BA" w:rsidRDefault="005E5B48">
      <w:pPr>
        <w:pStyle w:val="BodyText"/>
        <w:spacing w:before="1"/>
        <w:rPr>
          <w:sz w:val="19"/>
        </w:rPr>
      </w:pPr>
    </w:p>
    <w:p w:rsidR="005E5B48" w:rsidRPr="003948BA" w:rsidRDefault="00814043">
      <w:pPr>
        <w:spacing w:line="242" w:lineRule="auto"/>
        <w:ind w:left="1460" w:right="1020"/>
        <w:jc w:val="both"/>
        <w:rPr>
          <w:sz w:val="20"/>
        </w:rPr>
      </w:pPr>
      <w:r w:rsidRPr="003948BA">
        <w:rPr>
          <w:b/>
          <w:sz w:val="20"/>
        </w:rPr>
        <w:t xml:space="preserve">“CIS”/”Collective Investment Scheme(s)” </w:t>
      </w:r>
      <w:r w:rsidRPr="003948BA">
        <w:rPr>
          <w:sz w:val="20"/>
        </w:rPr>
        <w:t>means Open End Scheme(s) managed by the Management Company and/or by other Asset Management Companies (both local and international).</w:t>
      </w:r>
    </w:p>
    <w:p w:rsidR="005E5B48" w:rsidRPr="003948BA" w:rsidRDefault="005E5B48">
      <w:pPr>
        <w:pStyle w:val="BodyText"/>
        <w:spacing w:before="7"/>
        <w:rPr>
          <w:sz w:val="19"/>
        </w:rPr>
      </w:pPr>
    </w:p>
    <w:p w:rsidR="005E5B48" w:rsidRPr="003948BA" w:rsidRDefault="00814043">
      <w:pPr>
        <w:spacing w:line="244" w:lineRule="auto"/>
        <w:ind w:left="1460" w:right="1017"/>
        <w:jc w:val="both"/>
        <w:rPr>
          <w:sz w:val="20"/>
        </w:rPr>
      </w:pPr>
      <w:r w:rsidRPr="003948BA">
        <w:rPr>
          <w:b/>
          <w:sz w:val="20"/>
        </w:rPr>
        <w:t xml:space="preserve">“Connected Person” </w:t>
      </w:r>
      <w:r w:rsidRPr="003948BA">
        <w:rPr>
          <w:sz w:val="20"/>
        </w:rPr>
        <w:t>shall have the same meaning as assigned in the Rules and Regulations.</w:t>
      </w:r>
    </w:p>
    <w:p w:rsidR="005E5B48" w:rsidRPr="003948BA" w:rsidRDefault="005E5B48">
      <w:pPr>
        <w:pStyle w:val="BodyText"/>
        <w:spacing w:before="10"/>
        <w:rPr>
          <w:sz w:val="18"/>
        </w:rPr>
      </w:pPr>
    </w:p>
    <w:p w:rsidR="005E5B48" w:rsidRPr="003948BA" w:rsidRDefault="00814043">
      <w:pPr>
        <w:spacing w:line="244" w:lineRule="auto"/>
        <w:ind w:left="1460" w:right="1023"/>
        <w:jc w:val="both"/>
        <w:rPr>
          <w:sz w:val="20"/>
        </w:rPr>
      </w:pPr>
      <w:r w:rsidRPr="003948BA">
        <w:rPr>
          <w:b/>
          <w:sz w:val="20"/>
        </w:rPr>
        <w:t xml:space="preserve">“Constitutive Documents” </w:t>
      </w:r>
      <w:r w:rsidRPr="003948BA">
        <w:rPr>
          <w:sz w:val="20"/>
        </w:rPr>
        <w:t>means the Trust Deed or such other documents as defined in the Regulations.</w:t>
      </w:r>
    </w:p>
    <w:p w:rsidR="005E5B48" w:rsidRPr="003948BA" w:rsidRDefault="005E5B48">
      <w:pPr>
        <w:pStyle w:val="BodyText"/>
        <w:rPr>
          <w:sz w:val="22"/>
        </w:rPr>
      </w:pPr>
    </w:p>
    <w:p w:rsidR="005E5B48" w:rsidRPr="003948BA" w:rsidRDefault="00814043" w:rsidP="009A77F6">
      <w:pPr>
        <w:pStyle w:val="BodyText"/>
        <w:spacing w:before="197"/>
        <w:ind w:left="1460" w:right="1060"/>
        <w:jc w:val="both"/>
      </w:pPr>
      <w:r w:rsidRPr="003948BA">
        <w:rPr>
          <w:b/>
        </w:rPr>
        <w:lastRenderedPageBreak/>
        <w:t xml:space="preserve">“Contingent load” </w:t>
      </w:r>
      <w:r w:rsidR="009A77F6" w:rsidRPr="003948BA">
        <w:t>It means that load payable by the Unit Holder on redemption and at actual basis as specified in Annexure B this Offering Document. Any Contingent Load received will form part of the Trust Property.</w:t>
      </w:r>
    </w:p>
    <w:p w:rsidR="005E5B48" w:rsidRPr="003948BA" w:rsidRDefault="005E5B48">
      <w:pPr>
        <w:pStyle w:val="BodyText"/>
        <w:rPr>
          <w:sz w:val="22"/>
        </w:rPr>
      </w:pPr>
    </w:p>
    <w:p w:rsidR="005E5B48" w:rsidRPr="003948BA" w:rsidRDefault="005E5B48">
      <w:pPr>
        <w:pStyle w:val="BodyText"/>
        <w:spacing w:before="4"/>
        <w:rPr>
          <w:sz w:val="17"/>
        </w:rPr>
      </w:pPr>
    </w:p>
    <w:p w:rsidR="005E5B48" w:rsidRPr="003948BA" w:rsidRDefault="00814043">
      <w:pPr>
        <w:pStyle w:val="BodyText"/>
        <w:ind w:left="1460" w:right="1018"/>
        <w:jc w:val="both"/>
      </w:pPr>
      <w:r w:rsidRPr="003948BA">
        <w:rPr>
          <w:b/>
        </w:rPr>
        <w:t xml:space="preserve">“Custodian” </w:t>
      </w:r>
      <w:r w:rsidRPr="003948BA">
        <w:t>means a Bank, a Depository or an Investment Finance Company licensed under the Regulations, which may be appointed by the Trustee in consultation with the Management Company to hold and protect the Trust Property or any part thereof as custodian on behalf of the Trustee, and shall also include the Trustee itself if it provides custodial services for the Fund.</w:t>
      </w:r>
    </w:p>
    <w:p w:rsidR="005E5B48" w:rsidRPr="003948BA" w:rsidRDefault="005E5B48">
      <w:pPr>
        <w:pStyle w:val="BodyText"/>
      </w:pPr>
    </w:p>
    <w:p w:rsidR="005E5B48" w:rsidRPr="003948BA" w:rsidRDefault="00814043">
      <w:pPr>
        <w:pStyle w:val="BodyText"/>
        <w:ind w:left="1460" w:right="1014"/>
        <w:jc w:val="both"/>
      </w:pPr>
      <w:r w:rsidRPr="003948BA">
        <w:rPr>
          <w:b/>
        </w:rPr>
        <w:t xml:space="preserve">“Cut-Off Time” / “Business Hours” </w:t>
      </w:r>
      <w:r w:rsidRPr="003948BA">
        <w:t>means the day time for dealing in Units of the Fund. The current Cut-Off Timing/Business Hours are mentioned in Annexure “B” of this Offering Document.</w:t>
      </w:r>
    </w:p>
    <w:p w:rsidR="005E5B48" w:rsidRPr="003948BA" w:rsidRDefault="005E5B48">
      <w:pPr>
        <w:pStyle w:val="BodyText"/>
      </w:pPr>
    </w:p>
    <w:p w:rsidR="005E5B48" w:rsidRPr="003948BA" w:rsidRDefault="00814043">
      <w:pPr>
        <w:pStyle w:val="BodyText"/>
        <w:ind w:left="1460" w:right="1014"/>
        <w:jc w:val="both"/>
      </w:pPr>
      <w:r w:rsidRPr="003948BA">
        <w:rPr>
          <w:b/>
        </w:rPr>
        <w:t xml:space="preserve">“Dealing Day” </w:t>
      </w:r>
      <w:r w:rsidRPr="003948BA">
        <w:t>means every Business Day from Monday to Friday of every week. Units will be available for dealing (purchase, redemption, transfer, switching etc.) on Dealing Days during Cut-off Time. Provided that the Management Company may with the prior written consent of the Trustee and upon giving not less than seven days‟ notice in two widely circulated English or Urdu newspapers in Pakistan declare any particular Business Day(s) not to be a Dealing</w:t>
      </w:r>
      <w:r w:rsidRPr="003948BA">
        <w:rPr>
          <w:spacing w:val="-12"/>
        </w:rPr>
        <w:t xml:space="preserve"> </w:t>
      </w:r>
      <w:r w:rsidRPr="003948BA">
        <w:t>Day(s).</w:t>
      </w:r>
    </w:p>
    <w:p w:rsidR="005E5B48" w:rsidRPr="003948BA" w:rsidRDefault="005E5B48">
      <w:pPr>
        <w:pStyle w:val="BodyText"/>
        <w:spacing w:before="10"/>
        <w:rPr>
          <w:sz w:val="19"/>
        </w:rPr>
      </w:pPr>
    </w:p>
    <w:p w:rsidR="005E5B48" w:rsidRPr="003948BA" w:rsidRDefault="00814043">
      <w:pPr>
        <w:pStyle w:val="BodyText"/>
        <w:ind w:left="1460" w:right="1006"/>
        <w:jc w:val="both"/>
      </w:pPr>
      <w:r w:rsidRPr="003948BA">
        <w:rPr>
          <w:b/>
        </w:rPr>
        <w:t xml:space="preserve">“DFI” </w:t>
      </w:r>
      <w:r w:rsidRPr="003948BA">
        <w:t xml:space="preserve">means Development Financial Institution and includes the Pakistan Industrial Credit and Investment Corporation (PICIC), the Saudi Pak Industrial and Agricultural Investment Company Limited, the Pak Kuwait Investment Company Limited, the Pak Libya Holding Company Limited, the Pak Oman Investment Company (Pvt.) Limited, Investment Corporation of Pakistan, House Building Finance Corporation, Pak Brunei Investment Company Limited, Pak-Iran Joint Investment Company Limited, Pak-China Investment Company Limited, and any other financial institution notified under Section </w:t>
      </w:r>
      <w:r w:rsidRPr="003948BA">
        <w:rPr>
          <w:spacing w:val="1"/>
        </w:rPr>
        <w:t xml:space="preserve">3-A </w:t>
      </w:r>
      <w:r w:rsidRPr="003948BA">
        <w:t>of the Banking Companies Ordinance,</w:t>
      </w:r>
      <w:r w:rsidRPr="003948BA">
        <w:rPr>
          <w:spacing w:val="-1"/>
        </w:rPr>
        <w:t xml:space="preserve"> </w:t>
      </w:r>
      <w:r w:rsidRPr="003948BA">
        <w:t>1962.</w:t>
      </w:r>
    </w:p>
    <w:p w:rsidR="005E5B48" w:rsidRPr="003948BA" w:rsidRDefault="005E5B48">
      <w:pPr>
        <w:pStyle w:val="BodyText"/>
        <w:spacing w:before="10"/>
        <w:rPr>
          <w:sz w:val="19"/>
        </w:rPr>
      </w:pPr>
    </w:p>
    <w:p w:rsidR="005E5B48" w:rsidRPr="003948BA" w:rsidRDefault="00814043" w:rsidP="00765E07">
      <w:pPr>
        <w:pStyle w:val="BodyText"/>
        <w:spacing w:before="1" w:line="242" w:lineRule="auto"/>
        <w:ind w:left="1460" w:right="1013"/>
        <w:jc w:val="both"/>
      </w:pPr>
      <w:r w:rsidRPr="003948BA">
        <w:rPr>
          <w:b/>
        </w:rPr>
        <w:t xml:space="preserve">“Distribution Account” </w:t>
      </w:r>
      <w:r w:rsidRPr="003948BA">
        <w:t>means the</w:t>
      </w:r>
      <w:r w:rsidR="008715B3">
        <w:t xml:space="preserve"> Shariah Compliant</w:t>
      </w:r>
      <w:r w:rsidRPr="003948BA">
        <w:t xml:space="preserve"> </w:t>
      </w:r>
      <w:r w:rsidR="00134789" w:rsidRPr="003948BA">
        <w:t>Bank Account (which may be a current, saving or deposit account)</w:t>
      </w:r>
      <w:r w:rsidRPr="003948BA">
        <w:t xml:space="preserve"> maintained by the Trustee with a Bank as directed by the Management Company in which the amount required for distribution of</w:t>
      </w:r>
      <w:r w:rsidR="00765E07" w:rsidRPr="003948BA">
        <w:t xml:space="preserve"> </w:t>
      </w:r>
      <w:r w:rsidRPr="003948BA">
        <w:t>income to the Unit Holder(s)of the pertinent Allocation Plans may be transferred. Income or profit, if any, including those accruing on unclaimed dividends, in this account shall be transferred to the main account of the respective Allocation Plan from time to time, as part of the Fund Property of the pertinent Allocation Plan for the benefit of the Unit Holders of that Allocation Plan.</w:t>
      </w:r>
    </w:p>
    <w:p w:rsidR="005E5B48" w:rsidRPr="003948BA" w:rsidRDefault="005E5B48">
      <w:pPr>
        <w:pStyle w:val="BodyText"/>
        <w:spacing w:before="9"/>
        <w:rPr>
          <w:sz w:val="19"/>
        </w:rPr>
      </w:pPr>
    </w:p>
    <w:p w:rsidR="005E5B48" w:rsidRPr="003948BA" w:rsidRDefault="00814043">
      <w:pPr>
        <w:pStyle w:val="BodyText"/>
        <w:spacing w:before="1"/>
        <w:ind w:left="1460" w:right="1018"/>
        <w:jc w:val="both"/>
      </w:pPr>
      <w:r w:rsidRPr="003948BA">
        <w:rPr>
          <w:b/>
        </w:rPr>
        <w:t xml:space="preserve">“Distributor / Distribution Company” </w:t>
      </w:r>
      <w:r w:rsidRPr="003948BA">
        <w:t>means Company(</w:t>
      </w:r>
      <w:proofErr w:type="spellStart"/>
      <w:r w:rsidRPr="003948BA">
        <w:t>ies</w:t>
      </w:r>
      <w:proofErr w:type="spellEnd"/>
      <w:r w:rsidRPr="003948BA">
        <w:t>), Firm(s), Sole Proprietorship concern(s), individual(s), Banks or any other Financial Institution appointed by the Management Company under intimation to the Trustee for performing any or all of the Distribution Functions and who are registered with MUFAP as Registered Service Providers. The Management Company may itself also performs the Distribution Function.</w:t>
      </w:r>
    </w:p>
    <w:p w:rsidR="005E5B48" w:rsidRPr="003948BA" w:rsidRDefault="005E5B48">
      <w:pPr>
        <w:pStyle w:val="BodyText"/>
        <w:spacing w:before="9"/>
        <w:rPr>
          <w:sz w:val="19"/>
        </w:rPr>
      </w:pPr>
    </w:p>
    <w:p w:rsidR="005E5B48" w:rsidRPr="003948BA" w:rsidRDefault="00814043">
      <w:pPr>
        <w:ind w:left="1460"/>
        <w:jc w:val="both"/>
        <w:rPr>
          <w:sz w:val="20"/>
        </w:rPr>
      </w:pPr>
      <w:r w:rsidRPr="003948BA">
        <w:rPr>
          <w:b/>
          <w:sz w:val="20"/>
        </w:rPr>
        <w:t xml:space="preserve">“Distribution Function” </w:t>
      </w:r>
      <w:r w:rsidRPr="003948BA">
        <w:rPr>
          <w:sz w:val="20"/>
        </w:rPr>
        <w:t>means the functions with regard to:</w:t>
      </w:r>
    </w:p>
    <w:p w:rsidR="005E5B48" w:rsidRPr="003948BA" w:rsidRDefault="005E5B48">
      <w:pPr>
        <w:pStyle w:val="BodyText"/>
        <w:spacing w:before="3"/>
      </w:pPr>
    </w:p>
    <w:p w:rsidR="005E5B48" w:rsidRPr="003948BA" w:rsidRDefault="00814043" w:rsidP="00A002A6">
      <w:pPr>
        <w:pStyle w:val="ListParagraph"/>
        <w:numPr>
          <w:ilvl w:val="0"/>
          <w:numId w:val="3"/>
        </w:numPr>
        <w:tabs>
          <w:tab w:val="left" w:pos="3083"/>
        </w:tabs>
        <w:spacing w:before="1"/>
        <w:ind w:right="1019"/>
        <w:jc w:val="both"/>
        <w:rPr>
          <w:sz w:val="20"/>
        </w:rPr>
      </w:pPr>
      <w:r w:rsidRPr="003948BA">
        <w:rPr>
          <w:sz w:val="20"/>
        </w:rPr>
        <w:t>receiving applications for issue of Units together with the aggregate Offer Price for Units applied for by the</w:t>
      </w:r>
      <w:r w:rsidRPr="003948BA">
        <w:rPr>
          <w:spacing w:val="-23"/>
          <w:sz w:val="20"/>
        </w:rPr>
        <w:t xml:space="preserve"> </w:t>
      </w:r>
      <w:r w:rsidRPr="003948BA">
        <w:rPr>
          <w:sz w:val="20"/>
        </w:rPr>
        <w:t>applicants;</w:t>
      </w:r>
    </w:p>
    <w:p w:rsidR="005E5B48" w:rsidRPr="003948BA" w:rsidRDefault="00814043" w:rsidP="00A002A6">
      <w:pPr>
        <w:pStyle w:val="ListParagraph"/>
        <w:numPr>
          <w:ilvl w:val="0"/>
          <w:numId w:val="3"/>
        </w:numPr>
        <w:tabs>
          <w:tab w:val="left" w:pos="3083"/>
        </w:tabs>
        <w:spacing w:line="226" w:lineRule="exact"/>
        <w:rPr>
          <w:sz w:val="20"/>
        </w:rPr>
      </w:pPr>
      <w:r w:rsidRPr="003948BA">
        <w:rPr>
          <w:sz w:val="20"/>
        </w:rPr>
        <w:t>issuing receipts in respect of (a)</w:t>
      </w:r>
      <w:r w:rsidRPr="003948BA">
        <w:rPr>
          <w:spacing w:val="-8"/>
          <w:sz w:val="20"/>
        </w:rPr>
        <w:t xml:space="preserve"> </w:t>
      </w:r>
      <w:r w:rsidRPr="003948BA">
        <w:rPr>
          <w:sz w:val="20"/>
        </w:rPr>
        <w:t>above;</w:t>
      </w:r>
    </w:p>
    <w:p w:rsidR="005E5B48" w:rsidRPr="003948BA" w:rsidRDefault="00814043" w:rsidP="00A002A6">
      <w:pPr>
        <w:pStyle w:val="ListParagraph"/>
        <w:numPr>
          <w:ilvl w:val="0"/>
          <w:numId w:val="3"/>
        </w:numPr>
        <w:tabs>
          <w:tab w:val="left" w:pos="3083"/>
        </w:tabs>
        <w:spacing w:before="3"/>
        <w:ind w:right="1015"/>
        <w:jc w:val="both"/>
        <w:rPr>
          <w:sz w:val="20"/>
        </w:rPr>
      </w:pPr>
      <w:r w:rsidRPr="003948BA">
        <w:rPr>
          <w:sz w:val="20"/>
        </w:rPr>
        <w:t>interfacing with and providing services to the Holders including receiving redemption/transfer applications, conversion notices and applications for change of address or issue of duplicate Certificates for immediate transmission to the Management Company or the Transfer Agent as appropriate;</w:t>
      </w:r>
    </w:p>
    <w:p w:rsidR="00765E07" w:rsidRPr="003948BA" w:rsidRDefault="00814043" w:rsidP="00A002A6">
      <w:pPr>
        <w:pStyle w:val="ListParagraph"/>
        <w:numPr>
          <w:ilvl w:val="0"/>
          <w:numId w:val="3"/>
        </w:numPr>
        <w:tabs>
          <w:tab w:val="left" w:pos="3083"/>
        </w:tabs>
        <w:ind w:right="1018"/>
        <w:jc w:val="both"/>
        <w:rPr>
          <w:sz w:val="20"/>
        </w:rPr>
      </w:pPr>
      <w:r w:rsidRPr="003948BA">
        <w:rPr>
          <w:sz w:val="20"/>
        </w:rPr>
        <w:t>accounting to the Management Company for all: (i) payment instruments received from the applicants for issuance of Units; (ii) payments instruments to the Holders on redemption of Units; and (iii) expenses</w:t>
      </w:r>
    </w:p>
    <w:p w:rsidR="00765E07" w:rsidRPr="003948BA" w:rsidRDefault="00765E07" w:rsidP="00765E07">
      <w:pPr>
        <w:pStyle w:val="ListParagraph"/>
        <w:tabs>
          <w:tab w:val="left" w:pos="3083"/>
        </w:tabs>
        <w:ind w:left="3082" w:right="1018" w:firstLine="0"/>
        <w:jc w:val="both"/>
        <w:rPr>
          <w:sz w:val="20"/>
        </w:rPr>
      </w:pPr>
    </w:p>
    <w:p w:rsidR="005E5B48" w:rsidRPr="003948BA" w:rsidRDefault="00814043" w:rsidP="00765E07">
      <w:pPr>
        <w:pStyle w:val="ListParagraph"/>
        <w:tabs>
          <w:tab w:val="left" w:pos="3083"/>
        </w:tabs>
        <w:ind w:left="3082" w:right="1018" w:firstLine="0"/>
        <w:jc w:val="both"/>
        <w:rPr>
          <w:sz w:val="20"/>
        </w:rPr>
      </w:pPr>
      <w:r w:rsidRPr="003948BA">
        <w:rPr>
          <w:sz w:val="20"/>
        </w:rPr>
        <w:t xml:space="preserve"> incurred in relation to the Distribution</w:t>
      </w:r>
      <w:r w:rsidRPr="003948BA">
        <w:rPr>
          <w:spacing w:val="-11"/>
          <w:sz w:val="20"/>
        </w:rPr>
        <w:t xml:space="preserve"> </w:t>
      </w:r>
      <w:r w:rsidRPr="003948BA">
        <w:rPr>
          <w:sz w:val="20"/>
        </w:rPr>
        <w:t>Function.</w:t>
      </w:r>
    </w:p>
    <w:p w:rsidR="005E5B48" w:rsidRPr="003948BA" w:rsidRDefault="00814043" w:rsidP="00A002A6">
      <w:pPr>
        <w:pStyle w:val="ListParagraph"/>
        <w:numPr>
          <w:ilvl w:val="0"/>
          <w:numId w:val="3"/>
        </w:numPr>
        <w:tabs>
          <w:tab w:val="left" w:pos="3083"/>
        </w:tabs>
        <w:ind w:right="1018"/>
        <w:jc w:val="both"/>
        <w:rPr>
          <w:sz w:val="20"/>
        </w:rPr>
      </w:pPr>
      <w:r w:rsidRPr="003948BA">
        <w:rPr>
          <w:sz w:val="20"/>
        </w:rPr>
        <w:t>the above functions may be performed electronically, if appropriate systems are in</w:t>
      </w:r>
      <w:r w:rsidRPr="003948BA">
        <w:rPr>
          <w:spacing w:val="-9"/>
          <w:sz w:val="20"/>
        </w:rPr>
        <w:t xml:space="preserve"> </w:t>
      </w:r>
      <w:r w:rsidRPr="003948BA">
        <w:rPr>
          <w:sz w:val="20"/>
        </w:rPr>
        <w:t>place.</w:t>
      </w:r>
    </w:p>
    <w:p w:rsidR="005E5B48" w:rsidRPr="003948BA" w:rsidRDefault="005E5B48">
      <w:pPr>
        <w:pStyle w:val="BodyText"/>
        <w:spacing w:before="9"/>
        <w:rPr>
          <w:sz w:val="19"/>
        </w:rPr>
      </w:pPr>
    </w:p>
    <w:p w:rsidR="005E5B48" w:rsidRPr="003948BA" w:rsidRDefault="00814043">
      <w:pPr>
        <w:pStyle w:val="BodyText"/>
        <w:ind w:left="1460" w:right="1006"/>
        <w:jc w:val="both"/>
      </w:pPr>
      <w:r w:rsidRPr="003948BA">
        <w:rPr>
          <w:b/>
        </w:rPr>
        <w:t xml:space="preserve">“Duties and Charges” </w:t>
      </w:r>
      <w:r w:rsidRPr="003948BA">
        <w:t>means in relation to any particular transaction or dealing all stamp and other duties, taxes, Government charges, bank charges, transfer fees, registration fees and other duties and charges in connection with the increase or decrease of the Trust Property or the creation, issue, sale, transfer, redemption or purchase of Units or the sale or purchase of Investment or in respect of the issue, transfer, cancellation or replacement of a Certificate or otherwise which may have become or may be payable in respect of or prior to or upon the occasion of the transaction or dealing in respect of which such duties and charges are payable, but do not include the remuneration payable to the Distribution Company or any Commission payable to agents on sales and redemption of Units or any Commission charges or costs which may have been taken into account in ascertaining the Net Asset Value.</w:t>
      </w:r>
    </w:p>
    <w:p w:rsidR="005E5B48" w:rsidRPr="003948BA" w:rsidRDefault="005E5B48">
      <w:pPr>
        <w:pStyle w:val="BodyText"/>
      </w:pPr>
    </w:p>
    <w:p w:rsidR="00B512CB" w:rsidRDefault="00B512CB">
      <w:pPr>
        <w:pStyle w:val="BodyText"/>
        <w:spacing w:line="242" w:lineRule="auto"/>
        <w:ind w:left="1460" w:right="1006"/>
        <w:jc w:val="both"/>
        <w:rPr>
          <w:b/>
        </w:rPr>
      </w:pPr>
      <w:r w:rsidRPr="00B512CB">
        <w:rPr>
          <w:b/>
        </w:rPr>
        <w:t xml:space="preserve">“Exit Charges” </w:t>
      </w:r>
      <w:r w:rsidRPr="00B512CB">
        <w:t>means contingent load, back-end load</w:t>
      </w:r>
      <w:r>
        <w:t xml:space="preserve"> (Deferred Sales Load)</w:t>
      </w:r>
      <w:r w:rsidRPr="00B512CB">
        <w:t xml:space="preserve"> and any other charges as may be applied by Management Company and defined in the Offering Document of the Fund.</w:t>
      </w:r>
    </w:p>
    <w:p w:rsidR="00B512CB" w:rsidRDefault="00B512CB">
      <w:pPr>
        <w:pStyle w:val="BodyText"/>
        <w:spacing w:line="242" w:lineRule="auto"/>
        <w:ind w:left="1460" w:right="1006"/>
        <w:jc w:val="both"/>
        <w:rPr>
          <w:b/>
        </w:rPr>
      </w:pPr>
    </w:p>
    <w:p w:rsidR="005E5B48" w:rsidRPr="003948BA" w:rsidRDefault="00814043">
      <w:pPr>
        <w:pStyle w:val="BodyText"/>
        <w:spacing w:line="242" w:lineRule="auto"/>
        <w:ind w:left="1460" w:right="1006"/>
        <w:jc w:val="both"/>
      </w:pPr>
      <w:r w:rsidRPr="003948BA">
        <w:rPr>
          <w:b/>
        </w:rPr>
        <w:t xml:space="preserve">“Expense Ratio” </w:t>
      </w:r>
      <w:r w:rsidRPr="003948BA">
        <w:t>means the measure which indicates the total costs associated with managing and operating the Fund.</w:t>
      </w:r>
    </w:p>
    <w:p w:rsidR="005E5B48" w:rsidRPr="003948BA" w:rsidRDefault="005E5B48">
      <w:pPr>
        <w:pStyle w:val="BodyText"/>
        <w:spacing w:before="7"/>
        <w:rPr>
          <w:sz w:val="19"/>
        </w:rPr>
      </w:pPr>
    </w:p>
    <w:p w:rsidR="005E5B48" w:rsidRPr="003948BA" w:rsidRDefault="00814043">
      <w:pPr>
        <w:pStyle w:val="BodyText"/>
        <w:ind w:left="1460"/>
        <w:jc w:val="both"/>
      </w:pPr>
      <w:r w:rsidRPr="003948BA">
        <w:rPr>
          <w:b/>
        </w:rPr>
        <w:t xml:space="preserve">“Exposure” </w:t>
      </w:r>
      <w:r w:rsidRPr="003948BA">
        <w:t>shall have same meanings as provided in the Regulations.</w:t>
      </w:r>
    </w:p>
    <w:p w:rsidR="005E5B48" w:rsidRPr="003948BA" w:rsidRDefault="005E5B48">
      <w:pPr>
        <w:pStyle w:val="BodyText"/>
      </w:pPr>
    </w:p>
    <w:p w:rsidR="005E5B48" w:rsidRPr="003948BA" w:rsidRDefault="00814043">
      <w:pPr>
        <w:spacing w:before="1"/>
        <w:ind w:left="1515"/>
        <w:jc w:val="both"/>
        <w:rPr>
          <w:sz w:val="20"/>
        </w:rPr>
      </w:pPr>
      <w:r w:rsidRPr="003948BA">
        <w:rPr>
          <w:b/>
          <w:sz w:val="20"/>
        </w:rPr>
        <w:t xml:space="preserve">“Federal Government” </w:t>
      </w:r>
      <w:r w:rsidRPr="003948BA">
        <w:rPr>
          <w:sz w:val="20"/>
        </w:rPr>
        <w:t>means the Federal Government of Islamic Republic of Pakistan.</w:t>
      </w:r>
    </w:p>
    <w:p w:rsidR="005E5B48" w:rsidRPr="003948BA" w:rsidRDefault="005E5B48">
      <w:pPr>
        <w:pStyle w:val="BodyText"/>
        <w:spacing w:before="9"/>
        <w:rPr>
          <w:sz w:val="19"/>
        </w:rPr>
      </w:pPr>
    </w:p>
    <w:p w:rsidR="005E5B48" w:rsidRPr="003948BA" w:rsidRDefault="00814043">
      <w:pPr>
        <w:pStyle w:val="BodyText"/>
        <w:spacing w:before="1" w:line="242" w:lineRule="auto"/>
        <w:ind w:left="1460" w:right="1012"/>
        <w:jc w:val="both"/>
      </w:pPr>
      <w:r w:rsidRPr="003948BA">
        <w:rPr>
          <w:b/>
        </w:rPr>
        <w:t xml:space="preserve">“Financial Institution” </w:t>
      </w:r>
      <w:r w:rsidRPr="003948BA">
        <w:t>means a Bank, Development Finance Institution, Nonbanking Finance Company, Modaraba or an institution registered under relevant laws to provide financial services within or outside Pakistan.</w:t>
      </w:r>
    </w:p>
    <w:p w:rsidR="005E5B48" w:rsidRPr="003948BA" w:rsidRDefault="005E5B48">
      <w:pPr>
        <w:pStyle w:val="BodyText"/>
        <w:spacing w:before="6"/>
        <w:rPr>
          <w:sz w:val="19"/>
        </w:rPr>
      </w:pPr>
    </w:p>
    <w:p w:rsidR="005E5B48" w:rsidRPr="003948BA" w:rsidRDefault="00814043" w:rsidP="00366F2F">
      <w:pPr>
        <w:pStyle w:val="BodyText"/>
        <w:spacing w:before="3"/>
        <w:ind w:left="1440" w:right="980"/>
        <w:jc w:val="both"/>
      </w:pPr>
      <w:r w:rsidRPr="003948BA">
        <w:rPr>
          <w:b/>
        </w:rPr>
        <w:t xml:space="preserve">“Force Majeure” </w:t>
      </w:r>
      <w:r w:rsidR="009A77F6" w:rsidRPr="003948BA">
        <w:t>It means any occurrence or circumstance or element which delays or prevents performance of any of the terms and conditions of this Deed or any obligations of the Management Company or the Trustee and shall include but not limited to any circumstance or element that cannot be reasonably controlled, predicted, avoided or overcome by any party hereto and which occurs after the execution of this Deed and makes the performance of the Deed in whole or in part impossible or impracticable or delays the performance, including but not limited to any situation where performance is impossible without unreasonable expenditure. Such circumstances include but are not limited to floods, fires, droughts, typhoons, earthquakes and other acts of God and other unavoidable or unpredictable elements beyond reasonable control, such as war (declared or undeclared), insurrection, civil war, acts of terrorism, accidents, strikes, riots, turmoil, civil commotion, any act or omission of a governmental authority, failure of communication system, hacking of computer system and transmissions by unscrupulous persons, closure of stock exchanges, banks or financial institutions, freezing of economic activities and other macro-economic factors, etc.</w:t>
      </w:r>
    </w:p>
    <w:p w:rsidR="009A77F6" w:rsidRPr="003948BA" w:rsidRDefault="009A77F6" w:rsidP="009A77F6">
      <w:pPr>
        <w:pStyle w:val="BodyText"/>
        <w:spacing w:before="3"/>
        <w:ind w:left="1440"/>
        <w:rPr>
          <w:sz w:val="19"/>
        </w:rPr>
      </w:pPr>
    </w:p>
    <w:p w:rsidR="005E5B48" w:rsidRPr="003948BA" w:rsidRDefault="00814043">
      <w:pPr>
        <w:pStyle w:val="BodyText"/>
        <w:ind w:left="1460" w:right="1016"/>
        <w:jc w:val="both"/>
      </w:pPr>
      <w:r w:rsidRPr="003948BA">
        <w:rPr>
          <w:b/>
        </w:rPr>
        <w:t xml:space="preserve">“Formation Cost” </w:t>
      </w:r>
      <w:r w:rsidRPr="003948BA">
        <w:t xml:space="preserve">means preliminary expenses relating to regulatory and registration fees of the Scheme, flotation expenses of the Scheme, expenses relating to authorization of the Scheme, execution and registration of the Constitutive Documents, legal costs, printing, circulation and publication of this Offering Document, announcements describing </w:t>
      </w:r>
      <w:r w:rsidRPr="003948BA">
        <w:rPr>
          <w:spacing w:val="2"/>
        </w:rPr>
        <w:t xml:space="preserve">the </w:t>
      </w:r>
      <w:r w:rsidRPr="003948BA">
        <w:t>Scheme and all other expenses incurred until the end of the Initial</w:t>
      </w:r>
      <w:r w:rsidRPr="003948BA">
        <w:rPr>
          <w:spacing w:val="-22"/>
        </w:rPr>
        <w:t xml:space="preserve"> </w:t>
      </w:r>
      <w:r w:rsidR="000355B0">
        <w:rPr>
          <w:spacing w:val="-22"/>
        </w:rPr>
        <w:t xml:space="preserve">Offering </w:t>
      </w:r>
      <w:r w:rsidRPr="003948BA">
        <w:t>Period.</w:t>
      </w:r>
    </w:p>
    <w:p w:rsidR="005E5B48" w:rsidRPr="003948BA" w:rsidRDefault="005E5B48">
      <w:pPr>
        <w:pStyle w:val="BodyText"/>
        <w:spacing w:before="7"/>
        <w:rPr>
          <w:sz w:val="19"/>
        </w:rPr>
      </w:pPr>
    </w:p>
    <w:p w:rsidR="005E5B48" w:rsidRPr="003948BA" w:rsidRDefault="00814043">
      <w:pPr>
        <w:pStyle w:val="BodyText"/>
        <w:spacing w:line="242" w:lineRule="auto"/>
        <w:ind w:left="1460" w:right="1011"/>
        <w:jc w:val="both"/>
      </w:pPr>
      <w:r w:rsidRPr="003948BA">
        <w:rPr>
          <w:b/>
        </w:rPr>
        <w:t xml:space="preserve">“Front-end Load” </w:t>
      </w:r>
      <w:r w:rsidRPr="003948BA">
        <w:t>means the Sales load which may be included in the offering price of the Units of Allocation Plans; provided however that different levels of Front-end Load may be applied to different investors, as determined by the Management Company. However aggregate of Front-end Load and</w:t>
      </w:r>
      <w:r w:rsidR="00947CC9" w:rsidRPr="003948BA">
        <w:t xml:space="preserve"> Back-End Load (Deferred Sales Load) </w:t>
      </w:r>
      <w:r w:rsidRPr="003948BA">
        <w:t>should not exceed 3% of Net Asset Value.</w:t>
      </w:r>
    </w:p>
    <w:p w:rsidR="005E5B48" w:rsidRPr="003948BA" w:rsidRDefault="005E5B48">
      <w:pPr>
        <w:pStyle w:val="BodyText"/>
        <w:spacing w:before="8"/>
        <w:rPr>
          <w:sz w:val="19"/>
        </w:rPr>
      </w:pPr>
    </w:p>
    <w:p w:rsidR="005E5B48" w:rsidRPr="003948BA" w:rsidRDefault="00814043">
      <w:pPr>
        <w:pStyle w:val="BodyText"/>
        <w:ind w:left="1460" w:right="1015"/>
        <w:jc w:val="both"/>
      </w:pPr>
      <w:r w:rsidRPr="003948BA">
        <w:rPr>
          <w:b/>
        </w:rPr>
        <w:t xml:space="preserve">“Fund” </w:t>
      </w:r>
      <w:r w:rsidRPr="003948BA">
        <w:t>means “Al-Ameen Islamic Financial Planning Fund</w:t>
      </w:r>
      <w:r w:rsidR="00B512CB">
        <w:t>-IV</w:t>
      </w:r>
      <w:r w:rsidRPr="003948BA">
        <w:t>” or “Scheme”, or “Trust”, or “Unit Trust”, or “AIFPF</w:t>
      </w:r>
      <w:r w:rsidR="00B512CB">
        <w:t>-IV</w:t>
      </w:r>
      <w:r w:rsidRPr="003948BA">
        <w:t>”.</w:t>
      </w:r>
    </w:p>
    <w:p w:rsidR="005E5B48" w:rsidRPr="003948BA" w:rsidRDefault="009A77F6">
      <w:pPr>
        <w:pStyle w:val="BodyText"/>
        <w:spacing w:before="7"/>
        <w:rPr>
          <w:sz w:val="19"/>
        </w:rPr>
      </w:pPr>
      <w:r w:rsidRPr="003948BA">
        <w:rPr>
          <w:sz w:val="19"/>
        </w:rPr>
        <w:tab/>
      </w:r>
      <w:r w:rsidRPr="003948BA">
        <w:rPr>
          <w:sz w:val="19"/>
        </w:rPr>
        <w:tab/>
      </w:r>
    </w:p>
    <w:p w:rsidR="00947CC9" w:rsidRPr="003948BA" w:rsidRDefault="009A77F6" w:rsidP="0059144A">
      <w:pPr>
        <w:tabs>
          <w:tab w:val="left" w:pos="360"/>
        </w:tabs>
        <w:adjustRightInd w:val="0"/>
        <w:ind w:left="1440"/>
        <w:jc w:val="both"/>
        <w:rPr>
          <w:color w:val="000000"/>
          <w:sz w:val="20"/>
          <w:szCs w:val="20"/>
        </w:rPr>
      </w:pPr>
      <w:r w:rsidRPr="003948BA">
        <w:rPr>
          <w:b/>
          <w:color w:val="000000"/>
          <w:sz w:val="20"/>
          <w:szCs w:val="20"/>
        </w:rPr>
        <w:t>“Gap Event”</w:t>
      </w:r>
      <w:r w:rsidRPr="003948BA">
        <w:rPr>
          <w:color w:val="000000"/>
          <w:sz w:val="20"/>
          <w:szCs w:val="20"/>
        </w:rPr>
        <w:t xml:space="preserve"> </w:t>
      </w:r>
      <w:r w:rsidR="00725249" w:rsidRPr="00725249">
        <w:rPr>
          <w:b/>
          <w:sz w:val="20"/>
          <w:szCs w:val="24"/>
        </w:rPr>
        <w:t>(for CPPI Based Plan)</w:t>
      </w:r>
      <w:r w:rsidR="0059144A" w:rsidRPr="003948BA">
        <w:rPr>
          <w:b/>
          <w:sz w:val="20"/>
          <w:szCs w:val="24"/>
        </w:rPr>
        <w:t xml:space="preserve"> </w:t>
      </w:r>
      <w:r w:rsidRPr="003948BA">
        <w:rPr>
          <w:color w:val="000000"/>
          <w:sz w:val="20"/>
          <w:szCs w:val="20"/>
        </w:rPr>
        <w:t>means an event, whereby, Plan’s Net Assets</w:t>
      </w:r>
    </w:p>
    <w:p w:rsidR="009A77F6" w:rsidRPr="003948BA" w:rsidRDefault="009A77F6" w:rsidP="0059144A">
      <w:pPr>
        <w:tabs>
          <w:tab w:val="left" w:pos="360"/>
        </w:tabs>
        <w:adjustRightInd w:val="0"/>
        <w:ind w:left="1440"/>
        <w:jc w:val="both"/>
        <w:rPr>
          <w:color w:val="000000"/>
          <w:sz w:val="20"/>
          <w:szCs w:val="20"/>
        </w:rPr>
      </w:pPr>
      <w:r w:rsidRPr="003948BA">
        <w:rPr>
          <w:color w:val="000000"/>
          <w:sz w:val="20"/>
          <w:szCs w:val="20"/>
        </w:rPr>
        <w:t xml:space="preserve"> falls below the Bond Floor.</w:t>
      </w:r>
    </w:p>
    <w:p w:rsidR="009A77F6" w:rsidRPr="003948BA" w:rsidRDefault="009A77F6" w:rsidP="009A77F6">
      <w:pPr>
        <w:tabs>
          <w:tab w:val="left" w:pos="360"/>
        </w:tabs>
        <w:adjustRightInd w:val="0"/>
        <w:ind w:left="720"/>
        <w:jc w:val="both"/>
        <w:rPr>
          <w:color w:val="000000"/>
          <w:sz w:val="20"/>
          <w:szCs w:val="20"/>
        </w:rPr>
      </w:pPr>
    </w:p>
    <w:p w:rsidR="009A77F6" w:rsidRPr="003948BA" w:rsidRDefault="009A77F6" w:rsidP="00366F2F">
      <w:pPr>
        <w:pStyle w:val="BodyText"/>
        <w:spacing w:before="7"/>
        <w:ind w:left="1460" w:right="980"/>
        <w:jc w:val="both"/>
        <w:rPr>
          <w:color w:val="000000"/>
        </w:rPr>
      </w:pPr>
      <w:r w:rsidRPr="003948BA">
        <w:rPr>
          <w:b/>
          <w:color w:val="000000"/>
        </w:rPr>
        <w:t>“Gap Risk”</w:t>
      </w:r>
      <w:r w:rsidRPr="003948BA">
        <w:rPr>
          <w:color w:val="000000"/>
        </w:rPr>
        <w:t xml:space="preserve"> </w:t>
      </w:r>
      <w:r w:rsidR="00725249" w:rsidRPr="00725249">
        <w:rPr>
          <w:b/>
          <w:szCs w:val="24"/>
        </w:rPr>
        <w:t>(for CPPI Based Plan)</w:t>
      </w:r>
      <w:r w:rsidR="0059144A" w:rsidRPr="003948BA">
        <w:rPr>
          <w:b/>
          <w:szCs w:val="24"/>
        </w:rPr>
        <w:t xml:space="preserve"> </w:t>
      </w:r>
      <w:r w:rsidRPr="003948BA">
        <w:rPr>
          <w:color w:val="000000"/>
        </w:rPr>
        <w:t xml:space="preserve">means the probability of occurrence of a Gap Event. </w:t>
      </w:r>
      <w:r w:rsidRPr="003948BA">
        <w:rPr>
          <w:color w:val="000000"/>
        </w:rPr>
        <w:lastRenderedPageBreak/>
        <w:t xml:space="preserve">This risk pertains to the Gap event where the Portfolio Value falls below the Present Value (bond floor) of the </w:t>
      </w:r>
      <w:r w:rsidR="008E7961" w:rsidRPr="003948BA">
        <w:rPr>
          <w:color w:val="000000"/>
        </w:rPr>
        <w:t>principal</w:t>
      </w:r>
      <w:r w:rsidRPr="003948BA">
        <w:rPr>
          <w:color w:val="000000"/>
        </w:rPr>
        <w:t xml:space="preserve"> preservation amount required at the end of twenty four months and beyond till maturity of the plan</w:t>
      </w:r>
    </w:p>
    <w:p w:rsidR="009A77F6" w:rsidRPr="003948BA" w:rsidRDefault="009A77F6" w:rsidP="009A77F6">
      <w:pPr>
        <w:pStyle w:val="BodyText"/>
        <w:spacing w:before="7"/>
        <w:rPr>
          <w:sz w:val="19"/>
        </w:rPr>
      </w:pPr>
    </w:p>
    <w:p w:rsidR="005E5B48" w:rsidRPr="003948BA" w:rsidRDefault="00814043">
      <w:pPr>
        <w:pStyle w:val="BodyText"/>
        <w:spacing w:before="1"/>
        <w:ind w:left="1460" w:right="1015"/>
        <w:jc w:val="both"/>
      </w:pPr>
      <w:r w:rsidRPr="003948BA">
        <w:rPr>
          <w:b/>
        </w:rPr>
        <w:t xml:space="preserve">“Government Securities” </w:t>
      </w:r>
      <w:r w:rsidRPr="003948BA">
        <w:t>includes monetary obligations of the Government or a Provincial Government or a corporation wholly owned or controlled, directly or indirectly, by the Federal Government or a Provincial Government and guaranteed by the Federal Government and any other security as the Federal Government may, by notification in the official Gazette, declare, to the extent determined from time to time, to be a Government Security.</w:t>
      </w:r>
    </w:p>
    <w:p w:rsidR="005E5B48" w:rsidRPr="003948BA" w:rsidRDefault="005E5B48">
      <w:pPr>
        <w:pStyle w:val="BodyText"/>
      </w:pPr>
    </w:p>
    <w:p w:rsidR="00134789" w:rsidRPr="003948BA" w:rsidRDefault="00134789" w:rsidP="00134789">
      <w:pPr>
        <w:pStyle w:val="BodyText"/>
        <w:ind w:left="740" w:firstLine="720"/>
      </w:pPr>
      <w:r w:rsidRPr="003948BA">
        <w:rPr>
          <w:b/>
        </w:rPr>
        <w:t>“Haram Income”</w:t>
      </w:r>
      <w:r w:rsidRPr="003948BA">
        <w:t xml:space="preserve"> means any income prohibited by the Shariah.</w:t>
      </w:r>
    </w:p>
    <w:p w:rsidR="00134789" w:rsidRPr="003948BA" w:rsidRDefault="00134789" w:rsidP="00134789">
      <w:pPr>
        <w:pStyle w:val="BodyText"/>
        <w:ind w:left="740" w:firstLine="720"/>
      </w:pPr>
    </w:p>
    <w:p w:rsidR="005E5B48" w:rsidRPr="003948BA" w:rsidRDefault="00814043">
      <w:pPr>
        <w:pStyle w:val="BodyText"/>
        <w:spacing w:line="242" w:lineRule="auto"/>
        <w:ind w:left="1460" w:right="1014"/>
        <w:jc w:val="both"/>
      </w:pPr>
      <w:r w:rsidRPr="003948BA">
        <w:rPr>
          <w:b/>
        </w:rPr>
        <w:t xml:space="preserve">“Holder or Unit Holder” </w:t>
      </w:r>
      <w:r w:rsidRPr="003948BA">
        <w:t>means the investor for the time being entered in the Register as owner of a Unit of Allocation Plan(s), including investors jointly so registered pursuant to the provisions of the Trust Deed.</w:t>
      </w:r>
    </w:p>
    <w:p w:rsidR="005E5B48" w:rsidRPr="003948BA" w:rsidRDefault="005E5B48">
      <w:pPr>
        <w:pStyle w:val="BodyText"/>
        <w:spacing w:before="4"/>
        <w:rPr>
          <w:sz w:val="19"/>
        </w:rPr>
      </w:pPr>
    </w:p>
    <w:p w:rsidR="005E5B48" w:rsidRPr="003948BA" w:rsidRDefault="00814043">
      <w:pPr>
        <w:pStyle w:val="BodyText"/>
        <w:spacing w:line="242" w:lineRule="auto"/>
        <w:ind w:left="1460" w:right="1016"/>
        <w:jc w:val="both"/>
      </w:pPr>
      <w:r w:rsidRPr="003948BA">
        <w:rPr>
          <w:b/>
        </w:rPr>
        <w:t xml:space="preserve">“Initial Fund Size” </w:t>
      </w:r>
      <w:r w:rsidRPr="003948BA">
        <w:t>means the proceeds of Units issued to Class “A‟, and Class “B” Units till the close of Initial Offering Period.</w:t>
      </w:r>
    </w:p>
    <w:p w:rsidR="005E5B48" w:rsidRPr="003948BA" w:rsidRDefault="005E5B48">
      <w:pPr>
        <w:pStyle w:val="BodyText"/>
        <w:spacing w:before="6"/>
        <w:rPr>
          <w:sz w:val="19"/>
        </w:rPr>
      </w:pPr>
    </w:p>
    <w:p w:rsidR="005E5B48" w:rsidRPr="003948BA" w:rsidRDefault="00814043">
      <w:pPr>
        <w:spacing w:line="242" w:lineRule="auto"/>
        <w:ind w:left="1460" w:right="1013"/>
        <w:jc w:val="both"/>
        <w:rPr>
          <w:sz w:val="20"/>
        </w:rPr>
      </w:pPr>
      <w:r w:rsidRPr="003948BA">
        <w:rPr>
          <w:b/>
          <w:sz w:val="20"/>
        </w:rPr>
        <w:t xml:space="preserve">“Initial Period” or “Initial Offering Period” </w:t>
      </w:r>
      <w:r w:rsidRPr="003948BA">
        <w:rPr>
          <w:sz w:val="20"/>
        </w:rPr>
        <w:t>means a period determined by the Management Company during which Units will be offered as mentioned in clause 1.</w:t>
      </w:r>
      <w:r w:rsidR="00D662E2">
        <w:rPr>
          <w:sz w:val="20"/>
        </w:rPr>
        <w:t>10</w:t>
      </w:r>
      <w:r w:rsidR="00D662E2" w:rsidRPr="003948BA">
        <w:rPr>
          <w:sz w:val="20"/>
        </w:rPr>
        <w:t xml:space="preserve"> </w:t>
      </w:r>
      <w:r w:rsidRPr="003948BA">
        <w:rPr>
          <w:sz w:val="20"/>
        </w:rPr>
        <w:t>of this Offering</w:t>
      </w:r>
      <w:r w:rsidRPr="003948BA">
        <w:rPr>
          <w:spacing w:val="-7"/>
          <w:sz w:val="20"/>
        </w:rPr>
        <w:t xml:space="preserve"> </w:t>
      </w:r>
      <w:r w:rsidRPr="003948BA">
        <w:rPr>
          <w:sz w:val="20"/>
        </w:rPr>
        <w:t>Document.</w:t>
      </w:r>
    </w:p>
    <w:p w:rsidR="005E5B48" w:rsidRPr="003948BA" w:rsidRDefault="005E5B48">
      <w:pPr>
        <w:pStyle w:val="BodyText"/>
        <w:spacing w:before="4"/>
        <w:rPr>
          <w:sz w:val="19"/>
        </w:rPr>
      </w:pPr>
    </w:p>
    <w:p w:rsidR="005E5B48" w:rsidRPr="003948BA" w:rsidRDefault="00814043">
      <w:pPr>
        <w:spacing w:line="242" w:lineRule="auto"/>
        <w:ind w:left="1460" w:right="1015"/>
        <w:jc w:val="both"/>
        <w:rPr>
          <w:sz w:val="20"/>
        </w:rPr>
      </w:pPr>
      <w:r w:rsidRPr="003948BA">
        <w:rPr>
          <w:b/>
          <w:sz w:val="20"/>
        </w:rPr>
        <w:t xml:space="preserve">“Initial Price” or “Initial Offer” </w:t>
      </w:r>
      <w:r w:rsidRPr="003948BA">
        <w:rPr>
          <w:sz w:val="20"/>
        </w:rPr>
        <w:t xml:space="preserve">means the price per Unit during the Initial </w:t>
      </w:r>
      <w:r w:rsidR="00B512CB">
        <w:rPr>
          <w:sz w:val="20"/>
        </w:rPr>
        <w:t xml:space="preserve">Offering </w:t>
      </w:r>
      <w:proofErr w:type="gramStart"/>
      <w:r w:rsidRPr="003948BA">
        <w:rPr>
          <w:sz w:val="20"/>
        </w:rPr>
        <w:t>Period  determined</w:t>
      </w:r>
      <w:proofErr w:type="gramEnd"/>
      <w:r w:rsidRPr="003948BA">
        <w:rPr>
          <w:sz w:val="20"/>
        </w:rPr>
        <w:t xml:space="preserve"> by the Management</w:t>
      </w:r>
      <w:r w:rsidRPr="003948BA">
        <w:rPr>
          <w:spacing w:val="-18"/>
          <w:sz w:val="20"/>
        </w:rPr>
        <w:t xml:space="preserve"> </w:t>
      </w:r>
      <w:r w:rsidRPr="003948BA">
        <w:rPr>
          <w:sz w:val="20"/>
        </w:rPr>
        <w:t>Company.</w:t>
      </w:r>
    </w:p>
    <w:p w:rsidR="009A77F6" w:rsidRPr="003948BA" w:rsidRDefault="009A77F6" w:rsidP="00FB79CE">
      <w:pPr>
        <w:tabs>
          <w:tab w:val="left" w:pos="360"/>
        </w:tabs>
        <w:adjustRightInd w:val="0"/>
        <w:ind w:left="1440" w:right="980"/>
        <w:jc w:val="both"/>
        <w:rPr>
          <w:color w:val="000000"/>
          <w:sz w:val="20"/>
          <w:szCs w:val="20"/>
        </w:rPr>
      </w:pPr>
    </w:p>
    <w:p w:rsidR="009A77F6" w:rsidRPr="003948BA" w:rsidRDefault="009A77F6" w:rsidP="00507FA2">
      <w:pPr>
        <w:tabs>
          <w:tab w:val="left" w:pos="360"/>
        </w:tabs>
        <w:adjustRightInd w:val="0"/>
        <w:ind w:left="1440" w:right="980"/>
        <w:jc w:val="both"/>
        <w:rPr>
          <w:bCs/>
          <w:color w:val="000000"/>
          <w:sz w:val="20"/>
          <w:szCs w:val="20"/>
        </w:rPr>
      </w:pPr>
      <w:r w:rsidRPr="003948BA">
        <w:rPr>
          <w:b/>
          <w:bCs/>
          <w:color w:val="000000"/>
          <w:sz w:val="20"/>
          <w:szCs w:val="20"/>
        </w:rPr>
        <w:t xml:space="preserve">“Initial Plan Size” </w:t>
      </w:r>
      <w:r w:rsidRPr="003948BA">
        <w:rPr>
          <w:bCs/>
          <w:color w:val="000000"/>
          <w:sz w:val="20"/>
          <w:szCs w:val="20"/>
        </w:rPr>
        <w:t>means the proceeds of Units issued to Class “A‟ Units till the close of Initial Offering Period.</w:t>
      </w:r>
    </w:p>
    <w:p w:rsidR="009A77F6" w:rsidRPr="003948BA" w:rsidRDefault="009A77F6" w:rsidP="00D662B2">
      <w:pPr>
        <w:tabs>
          <w:tab w:val="left" w:pos="360"/>
        </w:tabs>
        <w:adjustRightInd w:val="0"/>
        <w:ind w:left="1440" w:right="980"/>
        <w:jc w:val="both"/>
        <w:rPr>
          <w:color w:val="000000"/>
          <w:sz w:val="20"/>
          <w:szCs w:val="20"/>
        </w:rPr>
      </w:pPr>
    </w:p>
    <w:p w:rsidR="009A77F6" w:rsidRPr="003948BA" w:rsidRDefault="009A77F6" w:rsidP="002E1639">
      <w:pPr>
        <w:tabs>
          <w:tab w:val="left" w:pos="360"/>
        </w:tabs>
        <w:adjustRightInd w:val="0"/>
        <w:ind w:left="1440" w:right="980"/>
        <w:jc w:val="both"/>
        <w:rPr>
          <w:color w:val="000000"/>
          <w:sz w:val="20"/>
          <w:szCs w:val="20"/>
        </w:rPr>
      </w:pPr>
      <w:r w:rsidRPr="003948BA">
        <w:rPr>
          <w:b/>
          <w:color w:val="000000"/>
          <w:sz w:val="20"/>
          <w:szCs w:val="20"/>
        </w:rPr>
        <w:t>“Investment Segment”</w:t>
      </w:r>
      <w:r w:rsidRPr="003948BA">
        <w:rPr>
          <w:color w:val="000000"/>
          <w:sz w:val="20"/>
          <w:szCs w:val="20"/>
        </w:rPr>
        <w:t xml:space="preserve"> means the portion of investment generally made in Authorized Investments as mentioned under Clause 3.2 under ‘Authorized Investments’ with an objective of providing Unit Holders a higher return</w:t>
      </w:r>
    </w:p>
    <w:p w:rsidR="009A77F6" w:rsidRPr="003948BA" w:rsidRDefault="009A77F6" w:rsidP="009A77F6">
      <w:pPr>
        <w:tabs>
          <w:tab w:val="left" w:pos="360"/>
        </w:tabs>
        <w:adjustRightInd w:val="0"/>
        <w:ind w:left="1440"/>
        <w:jc w:val="both"/>
        <w:rPr>
          <w:color w:val="000000"/>
          <w:sz w:val="20"/>
          <w:szCs w:val="20"/>
        </w:rPr>
      </w:pPr>
    </w:p>
    <w:p w:rsidR="009A77F6" w:rsidRPr="003948BA" w:rsidRDefault="009A77F6" w:rsidP="009A77F6">
      <w:pPr>
        <w:tabs>
          <w:tab w:val="left" w:pos="360"/>
        </w:tabs>
        <w:adjustRightInd w:val="0"/>
        <w:ind w:left="1440"/>
        <w:jc w:val="both"/>
        <w:rPr>
          <w:color w:val="000000"/>
          <w:sz w:val="20"/>
          <w:szCs w:val="20"/>
        </w:rPr>
      </w:pPr>
      <w:r w:rsidRPr="003948BA">
        <w:rPr>
          <w:color w:val="000000"/>
          <w:sz w:val="20"/>
          <w:szCs w:val="20"/>
        </w:rPr>
        <w:t>The Investment Segment of the Plan is further divided into:</w:t>
      </w:r>
    </w:p>
    <w:p w:rsidR="009A77F6" w:rsidRPr="003948BA" w:rsidRDefault="009A77F6" w:rsidP="00366F2F">
      <w:pPr>
        <w:tabs>
          <w:tab w:val="left" w:pos="360"/>
        </w:tabs>
        <w:adjustRightInd w:val="0"/>
        <w:ind w:left="720" w:right="890"/>
        <w:jc w:val="both"/>
        <w:rPr>
          <w:color w:val="000000"/>
          <w:sz w:val="20"/>
          <w:szCs w:val="20"/>
        </w:rPr>
      </w:pPr>
    </w:p>
    <w:p w:rsidR="009A77F6" w:rsidRPr="003948BA" w:rsidRDefault="009A77F6" w:rsidP="00366F2F">
      <w:pPr>
        <w:tabs>
          <w:tab w:val="left" w:pos="360"/>
        </w:tabs>
        <w:adjustRightInd w:val="0"/>
        <w:ind w:left="720" w:right="890"/>
        <w:jc w:val="both"/>
        <w:rPr>
          <w:b/>
          <w:color w:val="000000"/>
          <w:sz w:val="20"/>
          <w:szCs w:val="20"/>
        </w:rPr>
      </w:pPr>
      <w:r w:rsidRPr="003948BA">
        <w:rPr>
          <w:color w:val="000000"/>
          <w:sz w:val="20"/>
          <w:szCs w:val="20"/>
        </w:rPr>
        <w:tab/>
      </w:r>
      <w:r w:rsidRPr="003948BA">
        <w:rPr>
          <w:b/>
          <w:color w:val="000000"/>
          <w:sz w:val="20"/>
          <w:szCs w:val="20"/>
        </w:rPr>
        <w:t>I. “</w:t>
      </w:r>
      <w:r w:rsidRPr="003948BA">
        <w:rPr>
          <w:sz w:val="20"/>
          <w:szCs w:val="20"/>
        </w:rPr>
        <w:t xml:space="preserve">Islamic </w:t>
      </w:r>
      <w:r w:rsidRPr="003948BA">
        <w:rPr>
          <w:b/>
          <w:color w:val="000000"/>
          <w:sz w:val="20"/>
          <w:szCs w:val="20"/>
        </w:rPr>
        <w:t>Money Market/</w:t>
      </w:r>
      <w:r w:rsidRPr="003948BA">
        <w:rPr>
          <w:sz w:val="20"/>
          <w:szCs w:val="20"/>
        </w:rPr>
        <w:t xml:space="preserve"> Islamic </w:t>
      </w:r>
      <w:r w:rsidRPr="003948BA">
        <w:rPr>
          <w:b/>
          <w:color w:val="000000"/>
          <w:sz w:val="20"/>
          <w:szCs w:val="20"/>
        </w:rPr>
        <w:t>Sovereign Income</w:t>
      </w:r>
      <w:r w:rsidR="00985F60">
        <w:rPr>
          <w:b/>
          <w:color w:val="000000"/>
          <w:sz w:val="20"/>
          <w:szCs w:val="20"/>
        </w:rPr>
        <w:t xml:space="preserve"> Component</w:t>
      </w:r>
      <w:r w:rsidRPr="003948BA">
        <w:rPr>
          <w:b/>
          <w:color w:val="000000"/>
          <w:sz w:val="20"/>
          <w:szCs w:val="20"/>
        </w:rPr>
        <w:t>”</w:t>
      </w:r>
    </w:p>
    <w:p w:rsidR="009A77F6" w:rsidRPr="003948BA" w:rsidRDefault="009A77F6" w:rsidP="00366F2F">
      <w:pPr>
        <w:tabs>
          <w:tab w:val="left" w:pos="360"/>
        </w:tabs>
        <w:adjustRightInd w:val="0"/>
        <w:ind w:left="1440" w:right="890"/>
        <w:jc w:val="both"/>
        <w:rPr>
          <w:color w:val="000000"/>
          <w:sz w:val="20"/>
          <w:szCs w:val="20"/>
        </w:rPr>
      </w:pPr>
      <w:r w:rsidRPr="003948BA">
        <w:rPr>
          <w:b/>
          <w:color w:val="000000"/>
          <w:sz w:val="20"/>
          <w:szCs w:val="20"/>
        </w:rPr>
        <w:t>a.</w:t>
      </w:r>
      <w:r w:rsidRPr="003948BA">
        <w:rPr>
          <w:color w:val="000000"/>
          <w:sz w:val="20"/>
          <w:szCs w:val="20"/>
        </w:rPr>
        <w:t xml:space="preserve"> </w:t>
      </w:r>
      <w:r w:rsidRPr="003948BA">
        <w:rPr>
          <w:sz w:val="20"/>
          <w:szCs w:val="20"/>
        </w:rPr>
        <w:t xml:space="preserve">Islamic </w:t>
      </w:r>
      <w:r w:rsidRPr="003948BA">
        <w:rPr>
          <w:color w:val="000000"/>
          <w:sz w:val="20"/>
          <w:szCs w:val="20"/>
        </w:rPr>
        <w:t>Money Market/</w:t>
      </w:r>
      <w:r w:rsidRPr="003948BA">
        <w:rPr>
          <w:sz w:val="20"/>
          <w:szCs w:val="20"/>
        </w:rPr>
        <w:t xml:space="preserve"> Islamic </w:t>
      </w:r>
      <w:r w:rsidRPr="003948BA">
        <w:rPr>
          <w:color w:val="000000"/>
          <w:sz w:val="20"/>
          <w:szCs w:val="20"/>
        </w:rPr>
        <w:t>Sovereign Income Scheme(s) offered by the Management Company and other AMCs</w:t>
      </w:r>
    </w:p>
    <w:p w:rsidR="009A77F6" w:rsidRDefault="009A77F6" w:rsidP="00D73CFC">
      <w:pPr>
        <w:tabs>
          <w:tab w:val="left" w:pos="360"/>
        </w:tabs>
        <w:adjustRightInd w:val="0"/>
        <w:ind w:left="1440" w:right="890"/>
        <w:jc w:val="both"/>
        <w:rPr>
          <w:color w:val="000000"/>
          <w:sz w:val="20"/>
          <w:szCs w:val="20"/>
        </w:rPr>
      </w:pPr>
      <w:r w:rsidRPr="003948BA">
        <w:rPr>
          <w:b/>
          <w:color w:val="000000"/>
          <w:sz w:val="20"/>
          <w:szCs w:val="20"/>
        </w:rPr>
        <w:t>b.</w:t>
      </w:r>
      <w:r w:rsidRPr="003948BA">
        <w:rPr>
          <w:color w:val="000000"/>
          <w:sz w:val="20"/>
          <w:szCs w:val="20"/>
        </w:rPr>
        <w:t xml:space="preserve">  </w:t>
      </w:r>
      <w:r w:rsidRPr="003948BA">
        <w:rPr>
          <w:sz w:val="20"/>
          <w:szCs w:val="20"/>
        </w:rPr>
        <w:t xml:space="preserve">Islamic </w:t>
      </w:r>
      <w:r w:rsidRPr="003948BA">
        <w:rPr>
          <w:color w:val="000000"/>
          <w:sz w:val="20"/>
          <w:szCs w:val="20"/>
        </w:rPr>
        <w:t>Bank accounts or Islamic window of commercial bank accounts (</w:t>
      </w:r>
      <w:r w:rsidR="00D73CFC" w:rsidRPr="003948BA">
        <w:rPr>
          <w:color w:val="000000"/>
          <w:sz w:val="20"/>
          <w:szCs w:val="20"/>
        </w:rPr>
        <w:t>Islamic Money Market Component (Saving Accounts/Term Deposits</w:t>
      </w:r>
      <w:r w:rsidR="00301218">
        <w:rPr>
          <w:color w:val="000000"/>
          <w:sz w:val="20"/>
          <w:szCs w:val="20"/>
        </w:rPr>
        <w:t xml:space="preserve"> </w:t>
      </w:r>
      <w:r w:rsidR="00D73CFC" w:rsidRPr="003948BA">
        <w:rPr>
          <w:color w:val="000000"/>
          <w:sz w:val="20"/>
          <w:szCs w:val="20"/>
        </w:rPr>
        <w:t>with Banks having Rating AA- &amp; Above</w:t>
      </w:r>
      <w:r w:rsidR="00301218">
        <w:rPr>
          <w:color w:val="000000"/>
          <w:sz w:val="20"/>
          <w:szCs w:val="20"/>
        </w:rPr>
        <w:t xml:space="preserve"> in case of CPPI Plan</w:t>
      </w:r>
      <w:r w:rsidRPr="003948BA">
        <w:rPr>
          <w:color w:val="000000"/>
          <w:sz w:val="20"/>
          <w:szCs w:val="20"/>
        </w:rPr>
        <w:t>)</w:t>
      </w:r>
    </w:p>
    <w:p w:rsidR="00301218" w:rsidRPr="003948BA" w:rsidRDefault="00301218" w:rsidP="00D73CFC">
      <w:pPr>
        <w:tabs>
          <w:tab w:val="left" w:pos="360"/>
        </w:tabs>
        <w:adjustRightInd w:val="0"/>
        <w:ind w:left="1440" w:right="890"/>
        <w:jc w:val="both"/>
        <w:rPr>
          <w:color w:val="000000"/>
          <w:sz w:val="20"/>
          <w:szCs w:val="20"/>
        </w:rPr>
      </w:pPr>
    </w:p>
    <w:p w:rsidR="009A77F6" w:rsidRPr="003948BA" w:rsidRDefault="009A77F6" w:rsidP="00366F2F">
      <w:pPr>
        <w:tabs>
          <w:tab w:val="left" w:pos="360"/>
        </w:tabs>
        <w:adjustRightInd w:val="0"/>
        <w:ind w:left="720" w:right="890"/>
        <w:jc w:val="both"/>
        <w:rPr>
          <w:b/>
          <w:color w:val="000000"/>
          <w:sz w:val="20"/>
          <w:szCs w:val="20"/>
        </w:rPr>
      </w:pPr>
      <w:r w:rsidRPr="003948BA">
        <w:rPr>
          <w:color w:val="000000"/>
          <w:sz w:val="20"/>
          <w:szCs w:val="20"/>
        </w:rPr>
        <w:tab/>
      </w:r>
      <w:r w:rsidRPr="003948BA">
        <w:rPr>
          <w:b/>
          <w:color w:val="000000"/>
          <w:sz w:val="20"/>
          <w:szCs w:val="20"/>
        </w:rPr>
        <w:t>II. “</w:t>
      </w:r>
      <w:r w:rsidRPr="003948BA">
        <w:rPr>
          <w:sz w:val="20"/>
          <w:szCs w:val="20"/>
        </w:rPr>
        <w:t xml:space="preserve">Islamic </w:t>
      </w:r>
      <w:r w:rsidR="00301218" w:rsidRPr="00301218">
        <w:rPr>
          <w:b/>
          <w:sz w:val="20"/>
          <w:szCs w:val="20"/>
        </w:rPr>
        <w:t xml:space="preserve">Dedicated </w:t>
      </w:r>
      <w:r w:rsidRPr="003948BA">
        <w:rPr>
          <w:b/>
          <w:color w:val="000000"/>
          <w:sz w:val="20"/>
          <w:szCs w:val="20"/>
        </w:rPr>
        <w:t>Equity”</w:t>
      </w:r>
    </w:p>
    <w:p w:rsidR="009A77F6" w:rsidRPr="003948BA" w:rsidRDefault="009A77F6" w:rsidP="00A002A6">
      <w:pPr>
        <w:pStyle w:val="ListParagraph"/>
        <w:widowControl/>
        <w:numPr>
          <w:ilvl w:val="0"/>
          <w:numId w:val="42"/>
        </w:numPr>
        <w:tabs>
          <w:tab w:val="left" w:pos="360"/>
        </w:tabs>
        <w:adjustRightInd w:val="0"/>
        <w:ind w:right="890"/>
        <w:contextualSpacing/>
        <w:jc w:val="both"/>
        <w:rPr>
          <w:color w:val="000000"/>
          <w:sz w:val="20"/>
          <w:szCs w:val="20"/>
        </w:rPr>
      </w:pPr>
      <w:r w:rsidRPr="003948BA">
        <w:rPr>
          <w:sz w:val="20"/>
          <w:szCs w:val="20"/>
        </w:rPr>
        <w:t xml:space="preserve">Islamic Dedicated </w:t>
      </w:r>
      <w:r w:rsidRPr="003948BA">
        <w:rPr>
          <w:color w:val="000000"/>
          <w:sz w:val="20"/>
          <w:szCs w:val="20"/>
        </w:rPr>
        <w:t>Equity based schemes offered by the Management Company and other AMCs</w:t>
      </w:r>
    </w:p>
    <w:p w:rsidR="009A77F6" w:rsidRPr="003948BA" w:rsidRDefault="009A77F6" w:rsidP="00366F2F">
      <w:pPr>
        <w:pStyle w:val="BodyText"/>
        <w:spacing w:before="5"/>
        <w:ind w:right="890"/>
        <w:rPr>
          <w:sz w:val="19"/>
        </w:rPr>
      </w:pPr>
    </w:p>
    <w:p w:rsidR="005E5B48" w:rsidRPr="003948BA" w:rsidRDefault="00814043">
      <w:pPr>
        <w:pStyle w:val="BodyText"/>
        <w:ind w:left="1460"/>
        <w:jc w:val="both"/>
      </w:pPr>
      <w:r w:rsidRPr="003948BA">
        <w:rPr>
          <w:b/>
        </w:rPr>
        <w:t xml:space="preserve">“Investment” </w:t>
      </w:r>
      <w:r w:rsidRPr="003948BA">
        <w:t>means any Authorized Investment forming part of the Trust Property.</w:t>
      </w:r>
    </w:p>
    <w:p w:rsidR="005E5B48" w:rsidRPr="003948BA" w:rsidRDefault="005E5B48">
      <w:pPr>
        <w:pStyle w:val="BodyText"/>
        <w:spacing w:before="10"/>
        <w:rPr>
          <w:sz w:val="19"/>
        </w:rPr>
      </w:pPr>
    </w:p>
    <w:p w:rsidR="005E5B48" w:rsidRPr="003948BA" w:rsidRDefault="00814043">
      <w:pPr>
        <w:pStyle w:val="BodyText"/>
        <w:spacing w:line="242" w:lineRule="auto"/>
        <w:ind w:left="1460" w:right="1009"/>
        <w:jc w:val="both"/>
      </w:pPr>
      <w:r w:rsidRPr="003948BA">
        <w:rPr>
          <w:b/>
        </w:rPr>
        <w:t xml:space="preserve">“Investment Facilitators/Advisors” </w:t>
      </w:r>
      <w:r w:rsidRPr="003948BA">
        <w:t>means an individual, firm, corporate or other entity appointed by the Management Company to identify, solicit and assist investors in investing in the Scheme. The investment facilitator/advisor is not authorized to perform the Distribution Functions. The Management Company shall compensate the Investment Facilitators.</w:t>
      </w:r>
    </w:p>
    <w:p w:rsidR="005E5B48" w:rsidRPr="003948BA" w:rsidRDefault="005E5B48">
      <w:pPr>
        <w:pStyle w:val="BodyText"/>
        <w:spacing w:before="5"/>
        <w:rPr>
          <w:sz w:val="19"/>
        </w:rPr>
      </w:pPr>
    </w:p>
    <w:p w:rsidR="005E5B48" w:rsidRPr="003948BA" w:rsidRDefault="00814043">
      <w:pPr>
        <w:pStyle w:val="BodyText"/>
        <w:spacing w:line="242" w:lineRule="auto"/>
        <w:ind w:left="1460" w:right="1009"/>
        <w:jc w:val="both"/>
      </w:pPr>
      <w:r w:rsidRPr="003948BA">
        <w:rPr>
          <w:b/>
        </w:rPr>
        <w:t xml:space="preserve">“Investment Form” </w:t>
      </w:r>
      <w:r w:rsidRPr="003948BA">
        <w:t>means a standardized form prescribed by the Management Company to be duly filled by the investor to purchase Units and will be stated in this Offering Document.</w:t>
      </w:r>
    </w:p>
    <w:p w:rsidR="005E5B48" w:rsidRPr="003948BA" w:rsidRDefault="005E5B48">
      <w:pPr>
        <w:pStyle w:val="BodyText"/>
        <w:spacing w:before="6"/>
        <w:rPr>
          <w:sz w:val="19"/>
        </w:rPr>
      </w:pPr>
    </w:p>
    <w:p w:rsidR="009A77F6" w:rsidRPr="003948BA" w:rsidRDefault="009A77F6" w:rsidP="00366F2F">
      <w:pPr>
        <w:adjustRightInd w:val="0"/>
        <w:ind w:left="1440" w:right="980"/>
        <w:jc w:val="both"/>
        <w:rPr>
          <w:sz w:val="20"/>
          <w:szCs w:val="20"/>
        </w:rPr>
      </w:pPr>
      <w:r w:rsidRPr="003948BA">
        <w:rPr>
          <w:b/>
          <w:bCs/>
          <w:color w:val="000000"/>
          <w:sz w:val="20"/>
          <w:szCs w:val="20"/>
        </w:rPr>
        <w:t xml:space="preserve">“Life of the Plan” </w:t>
      </w:r>
      <w:r w:rsidRPr="003948BA">
        <w:rPr>
          <w:sz w:val="20"/>
          <w:szCs w:val="20"/>
        </w:rPr>
        <w:t xml:space="preserve">means duration of the Plan. It starts from the day following realization of all investment proceeds raised till the close of the Initial </w:t>
      </w:r>
      <w:r w:rsidR="000355B0">
        <w:rPr>
          <w:sz w:val="20"/>
          <w:szCs w:val="20"/>
        </w:rPr>
        <w:t xml:space="preserve">Offering </w:t>
      </w:r>
      <w:r w:rsidRPr="003948BA">
        <w:rPr>
          <w:sz w:val="20"/>
          <w:szCs w:val="20"/>
        </w:rPr>
        <w:t>Period. The Life of the Plan shall start no later than seven (7) seven business days from the close of Initial Offering Period.</w:t>
      </w:r>
    </w:p>
    <w:p w:rsidR="009A77F6" w:rsidRPr="003948BA" w:rsidRDefault="009A77F6">
      <w:pPr>
        <w:pStyle w:val="BodyText"/>
        <w:spacing w:before="6"/>
        <w:rPr>
          <w:sz w:val="19"/>
        </w:rPr>
      </w:pPr>
    </w:p>
    <w:p w:rsidR="005E5B48" w:rsidRPr="003948BA" w:rsidRDefault="00814043">
      <w:pPr>
        <w:spacing w:before="1"/>
        <w:ind w:left="1460"/>
        <w:jc w:val="both"/>
        <w:rPr>
          <w:sz w:val="20"/>
        </w:rPr>
      </w:pPr>
      <w:r w:rsidRPr="003948BA">
        <w:rPr>
          <w:b/>
          <w:sz w:val="20"/>
        </w:rPr>
        <w:t xml:space="preserve">“Local Governments” </w:t>
      </w:r>
      <w:r w:rsidRPr="003948BA">
        <w:rPr>
          <w:sz w:val="20"/>
        </w:rPr>
        <w:t>mean all the local / city governments in Pakistan.</w:t>
      </w:r>
    </w:p>
    <w:p w:rsidR="005E5B48" w:rsidRPr="003948BA" w:rsidRDefault="005E5B48">
      <w:pPr>
        <w:pStyle w:val="BodyText"/>
      </w:pPr>
    </w:p>
    <w:p w:rsidR="005E5B48" w:rsidRPr="003948BA" w:rsidRDefault="00814043">
      <w:pPr>
        <w:ind w:left="1460"/>
        <w:jc w:val="both"/>
        <w:rPr>
          <w:sz w:val="20"/>
        </w:rPr>
      </w:pPr>
      <w:r w:rsidRPr="003948BA">
        <w:rPr>
          <w:b/>
          <w:sz w:val="20"/>
        </w:rPr>
        <w:t xml:space="preserve">“Management Company” </w:t>
      </w:r>
      <w:r w:rsidRPr="003948BA">
        <w:rPr>
          <w:sz w:val="20"/>
        </w:rPr>
        <w:t>is defined in the preamble hereto;</w:t>
      </w:r>
    </w:p>
    <w:p w:rsidR="005E5B48" w:rsidRPr="003948BA" w:rsidRDefault="005E5B48" w:rsidP="009A77F6">
      <w:pPr>
        <w:pStyle w:val="NoSpacing"/>
        <w:rPr>
          <w:rFonts w:ascii="Arial" w:hAnsi="Arial" w:cs="Arial"/>
        </w:rPr>
      </w:pPr>
    </w:p>
    <w:p w:rsidR="009A77F6" w:rsidRPr="003948BA" w:rsidRDefault="009A77F6" w:rsidP="00366F2F">
      <w:pPr>
        <w:tabs>
          <w:tab w:val="left" w:pos="360"/>
        </w:tabs>
        <w:adjustRightInd w:val="0"/>
        <w:ind w:left="1440" w:right="980"/>
        <w:jc w:val="both"/>
        <w:rPr>
          <w:color w:val="000000"/>
          <w:sz w:val="20"/>
          <w:szCs w:val="20"/>
        </w:rPr>
      </w:pPr>
      <w:r w:rsidRPr="003948BA">
        <w:rPr>
          <w:b/>
          <w:color w:val="000000"/>
          <w:sz w:val="20"/>
          <w:szCs w:val="20"/>
        </w:rPr>
        <w:t>“Multiplier</w:t>
      </w:r>
      <w:r w:rsidR="00947CC9" w:rsidRPr="003948BA">
        <w:rPr>
          <w:b/>
          <w:color w:val="000000"/>
          <w:sz w:val="20"/>
          <w:szCs w:val="20"/>
        </w:rPr>
        <w:t xml:space="preserve">” </w:t>
      </w:r>
      <w:r w:rsidR="00725249" w:rsidRPr="00725249">
        <w:rPr>
          <w:b/>
          <w:sz w:val="20"/>
          <w:szCs w:val="24"/>
        </w:rPr>
        <w:t>(for CPPI Based Plan)</w:t>
      </w:r>
      <w:r w:rsidR="0059144A" w:rsidRPr="003948BA">
        <w:rPr>
          <w:b/>
          <w:sz w:val="20"/>
          <w:szCs w:val="24"/>
        </w:rPr>
        <w:t xml:space="preserve"> </w:t>
      </w:r>
      <w:r w:rsidRPr="003948BA">
        <w:rPr>
          <w:color w:val="000000"/>
          <w:sz w:val="20"/>
          <w:szCs w:val="20"/>
        </w:rPr>
        <w:t>is a measure of risk applied to the Plan’s Net Assets, to determine the amount of Net Assets to be allocated to the Islamic Equity Component. A higher Multiplier means greater allocation to Islamic Equity Component; whereas a lower Multiplier means greater allocation to the Money Market/Sovereign Income Component. The Management Company may, at its discretion, change the Multiplier from time to time, based on the market conditions and as per the limits defined in Circular No. 18 of 2015.</w:t>
      </w:r>
    </w:p>
    <w:p w:rsidR="005E5B48" w:rsidRPr="003948BA" w:rsidRDefault="005E5B48">
      <w:pPr>
        <w:pStyle w:val="BodyText"/>
        <w:spacing w:before="2"/>
        <w:rPr>
          <w:sz w:val="19"/>
        </w:rPr>
      </w:pPr>
    </w:p>
    <w:p w:rsidR="005E5B48" w:rsidRPr="003948BA" w:rsidRDefault="00814043">
      <w:pPr>
        <w:pStyle w:val="BodyText"/>
        <w:spacing w:before="93" w:line="242" w:lineRule="auto"/>
        <w:ind w:left="1460" w:right="1017" w:firstLine="55"/>
        <w:jc w:val="both"/>
      </w:pPr>
      <w:r w:rsidRPr="003948BA">
        <w:rPr>
          <w:b/>
        </w:rPr>
        <w:t xml:space="preserve">“Net Assets of the Allocation Plan” </w:t>
      </w:r>
      <w:r w:rsidRPr="003948BA">
        <w:t>means the excess of assets over liabilities of pertinent Allocation Plan being offered under the Fund, such excess being computed in the manner as specified in the</w:t>
      </w:r>
      <w:r w:rsidRPr="003948BA">
        <w:rPr>
          <w:spacing w:val="-9"/>
        </w:rPr>
        <w:t xml:space="preserve"> </w:t>
      </w:r>
      <w:r w:rsidRPr="003948BA">
        <w:t>Regulation.</w:t>
      </w:r>
    </w:p>
    <w:p w:rsidR="005E5B48" w:rsidRPr="003948BA" w:rsidRDefault="005E5B48">
      <w:pPr>
        <w:pStyle w:val="BodyText"/>
        <w:spacing w:before="4"/>
        <w:rPr>
          <w:sz w:val="19"/>
        </w:rPr>
      </w:pPr>
    </w:p>
    <w:p w:rsidR="005E5B48" w:rsidRPr="003948BA" w:rsidRDefault="00814043">
      <w:pPr>
        <w:pStyle w:val="BodyText"/>
        <w:spacing w:line="242" w:lineRule="auto"/>
        <w:ind w:left="1460" w:right="1018"/>
        <w:jc w:val="both"/>
      </w:pPr>
      <w:r w:rsidRPr="003948BA">
        <w:rPr>
          <w:b/>
        </w:rPr>
        <w:t xml:space="preserve">“Net Assets of the Scheme” </w:t>
      </w:r>
      <w:r w:rsidRPr="003948BA">
        <w:t>means the excess of assets over liabilities of all Allocation Plans combined together, such excess being computed in the manner as specified under Regulations.</w:t>
      </w:r>
    </w:p>
    <w:p w:rsidR="005E5B48" w:rsidRPr="003948BA" w:rsidRDefault="005E5B48">
      <w:pPr>
        <w:pStyle w:val="BodyText"/>
        <w:spacing w:before="7"/>
        <w:rPr>
          <w:sz w:val="19"/>
        </w:rPr>
      </w:pPr>
    </w:p>
    <w:p w:rsidR="005E5B48" w:rsidRDefault="00814043" w:rsidP="00FB79CE">
      <w:pPr>
        <w:pStyle w:val="BodyText"/>
        <w:ind w:left="1460" w:right="1016"/>
        <w:jc w:val="both"/>
      </w:pPr>
      <w:r w:rsidRPr="003948BA">
        <w:rPr>
          <w:b/>
        </w:rPr>
        <w:t xml:space="preserve">“Net Asset Value” or "NAV” </w:t>
      </w:r>
      <w:r w:rsidRPr="003948BA">
        <w:t>of the Allocation Plan means per Unit Value of the pertinent Allocation Plan(s) being offered under the Fund arrived at by dividing the Net Assets of the Allocation Plan(s) by the number of Unit(s) outstanding for such Allocation Plan(s). The NAV of each Allocation Plan shall be announced on each Dealing Day as per the directions of the Commission from time to time.</w:t>
      </w:r>
    </w:p>
    <w:p w:rsidR="00473751" w:rsidRPr="003948BA" w:rsidRDefault="00473751" w:rsidP="00FB79CE">
      <w:pPr>
        <w:pStyle w:val="BodyText"/>
        <w:ind w:left="1460" w:right="1016"/>
        <w:jc w:val="both"/>
      </w:pPr>
    </w:p>
    <w:p w:rsidR="009A77F6" w:rsidRPr="003948BA" w:rsidRDefault="00473751" w:rsidP="007C4D3F">
      <w:pPr>
        <w:pStyle w:val="BodyText"/>
        <w:ind w:left="1440"/>
      </w:pPr>
      <w:r>
        <w:rPr>
          <w:b/>
          <w:bCs/>
        </w:rPr>
        <w:t>Net Realizable Value</w:t>
      </w:r>
      <w:r>
        <w:t>” means the proceeds paid to the Unit Holder at completion of</w:t>
      </w:r>
      <w:r>
        <w:rPr>
          <w:b/>
          <w:bCs/>
        </w:rPr>
        <w:t xml:space="preserve"> </w:t>
      </w:r>
      <w:r>
        <w:rPr>
          <w:color w:val="231F20"/>
        </w:rPr>
        <w:t>life of plan or beyond till maturity of the plan</w:t>
      </w:r>
      <w:r>
        <w:rPr>
          <w:color w:val="000000"/>
          <w:sz w:val="19"/>
          <w:szCs w:val="19"/>
        </w:rPr>
        <w:t>.</w:t>
      </w:r>
    </w:p>
    <w:p w:rsidR="00473751" w:rsidRDefault="00473751">
      <w:pPr>
        <w:pStyle w:val="BodyText"/>
        <w:ind w:left="1460" w:right="1009"/>
        <w:jc w:val="both"/>
      </w:pPr>
    </w:p>
    <w:p w:rsidR="005E5B48" w:rsidRPr="003948BA" w:rsidRDefault="00814043">
      <w:pPr>
        <w:pStyle w:val="BodyText"/>
        <w:ind w:left="1460" w:right="1009"/>
        <w:jc w:val="both"/>
      </w:pPr>
      <w:r w:rsidRPr="003948BA">
        <w:t>“</w:t>
      </w:r>
      <w:r w:rsidRPr="003948BA">
        <w:rPr>
          <w:b/>
        </w:rPr>
        <w:t>Non-Term-Based Allocation Plans</w:t>
      </w:r>
      <w:r w:rsidRPr="003948BA">
        <w:t>” means the allocation plans that follow an investment strategy independent of any set time period over which certain objective(s) is/ are to be achieved. Such plans are open for subscription perpetually. Investors may enter or exit these plans at any time. These Allocation Plans typically do not have contingent loads</w:t>
      </w:r>
      <w:r w:rsidR="0043218A" w:rsidRPr="003948BA">
        <w:t>, however, back end load</w:t>
      </w:r>
      <w:r w:rsidR="00947CC9" w:rsidRPr="003948BA">
        <w:t xml:space="preserve"> </w:t>
      </w:r>
      <w:r w:rsidR="0043218A" w:rsidRPr="003948BA">
        <w:t>(deferred sales load) may be charged</w:t>
      </w:r>
      <w:r w:rsidRPr="003948BA">
        <w:t xml:space="preserve"> on redemptions.</w:t>
      </w:r>
    </w:p>
    <w:p w:rsidR="005E5B48" w:rsidRPr="003948BA" w:rsidRDefault="005E5B48">
      <w:pPr>
        <w:pStyle w:val="BodyText"/>
        <w:spacing w:before="10"/>
        <w:rPr>
          <w:sz w:val="19"/>
        </w:rPr>
      </w:pPr>
    </w:p>
    <w:p w:rsidR="005E5B48" w:rsidRPr="003948BA" w:rsidRDefault="00814043">
      <w:pPr>
        <w:ind w:left="1460" w:right="1014"/>
        <w:jc w:val="both"/>
        <w:rPr>
          <w:sz w:val="20"/>
        </w:rPr>
      </w:pPr>
      <w:r w:rsidRPr="003948BA">
        <w:rPr>
          <w:b/>
          <w:sz w:val="20"/>
        </w:rPr>
        <w:t xml:space="preserve">“Offer Price or Purchase (Public Offer) Price” </w:t>
      </w:r>
      <w:r w:rsidRPr="003948BA">
        <w:rPr>
          <w:sz w:val="20"/>
        </w:rPr>
        <w:t>means the sum to be paid by the investor for purchase of one Unit of an Allocation Plan, such price to be determined pursuant to this document.</w:t>
      </w:r>
    </w:p>
    <w:p w:rsidR="005E5B48" w:rsidRPr="003948BA" w:rsidRDefault="005E5B48">
      <w:pPr>
        <w:pStyle w:val="BodyText"/>
        <w:spacing w:before="10"/>
        <w:rPr>
          <w:sz w:val="19"/>
        </w:rPr>
      </w:pPr>
    </w:p>
    <w:p w:rsidR="005E5B48" w:rsidRPr="003948BA" w:rsidRDefault="00814043">
      <w:pPr>
        <w:pStyle w:val="BodyText"/>
        <w:ind w:left="1460" w:right="1012"/>
        <w:jc w:val="both"/>
      </w:pPr>
      <w:r w:rsidRPr="003948BA">
        <w:rPr>
          <w:b/>
        </w:rPr>
        <w:t xml:space="preserve">“Offering Document” </w:t>
      </w:r>
      <w:r w:rsidRPr="003948BA">
        <w:t>means the prospectus or other document (issued by the Management Company with written consent of the Trustee and approved by the Commission) which contains the investments and distribution policy, Allocation Plan(s), unit structure(s) and all other information in respect of the Unit Trust, as required by the Rules and Regulations and is circulated to invite offers by the public to invest in the</w:t>
      </w:r>
      <w:r w:rsidRPr="003948BA">
        <w:rPr>
          <w:spacing w:val="-41"/>
        </w:rPr>
        <w:t xml:space="preserve"> </w:t>
      </w:r>
      <w:r w:rsidRPr="003948BA">
        <w:t>Scheme.</w:t>
      </w:r>
    </w:p>
    <w:p w:rsidR="005E5B48" w:rsidRPr="003948BA" w:rsidRDefault="005E5B48">
      <w:pPr>
        <w:pStyle w:val="BodyText"/>
        <w:spacing w:before="10"/>
        <w:rPr>
          <w:sz w:val="19"/>
        </w:rPr>
      </w:pPr>
    </w:p>
    <w:p w:rsidR="005E5B48" w:rsidRPr="003948BA" w:rsidRDefault="00814043">
      <w:pPr>
        <w:pStyle w:val="BodyText"/>
        <w:spacing w:line="242" w:lineRule="auto"/>
        <w:ind w:left="1460" w:right="1015"/>
        <w:jc w:val="both"/>
      </w:pPr>
      <w:r w:rsidRPr="003948BA">
        <w:rPr>
          <w:b/>
        </w:rPr>
        <w:t xml:space="preserve">“Online” </w:t>
      </w:r>
      <w:r w:rsidRPr="003948BA">
        <w:t>means transactions through electronic data-interchange whether real time transactions or otherwise, which may be through the internet, intranet networks and the like.</w:t>
      </w:r>
    </w:p>
    <w:p w:rsidR="005E5B48" w:rsidRPr="003948BA" w:rsidRDefault="005E5B48">
      <w:pPr>
        <w:pStyle w:val="BodyText"/>
        <w:spacing w:before="3"/>
        <w:rPr>
          <w:sz w:val="19"/>
        </w:rPr>
      </w:pPr>
    </w:p>
    <w:p w:rsidR="005E5B48" w:rsidRPr="003948BA" w:rsidRDefault="00814043">
      <w:pPr>
        <w:ind w:left="1460"/>
        <w:jc w:val="both"/>
        <w:rPr>
          <w:sz w:val="20"/>
        </w:rPr>
      </w:pPr>
      <w:r w:rsidRPr="003948BA">
        <w:rPr>
          <w:b/>
          <w:sz w:val="20"/>
        </w:rPr>
        <w:t xml:space="preserve">“Ordinance” </w:t>
      </w:r>
      <w:r w:rsidRPr="003948BA">
        <w:rPr>
          <w:sz w:val="20"/>
        </w:rPr>
        <w:t xml:space="preserve">means the Companies </w:t>
      </w:r>
      <w:r w:rsidR="00301218">
        <w:rPr>
          <w:sz w:val="20"/>
        </w:rPr>
        <w:t>Act 2017</w:t>
      </w:r>
      <w:r w:rsidRPr="003948BA">
        <w:rPr>
          <w:sz w:val="20"/>
        </w:rPr>
        <w:t>.</w:t>
      </w:r>
    </w:p>
    <w:p w:rsidR="005E5B48" w:rsidRPr="003948BA" w:rsidRDefault="005E5B48">
      <w:pPr>
        <w:pStyle w:val="BodyText"/>
        <w:spacing w:before="1"/>
      </w:pPr>
    </w:p>
    <w:p w:rsidR="005E5B48" w:rsidRPr="003948BA" w:rsidRDefault="00814043">
      <w:pPr>
        <w:ind w:left="1460"/>
        <w:jc w:val="both"/>
        <w:rPr>
          <w:sz w:val="20"/>
        </w:rPr>
      </w:pPr>
      <w:r w:rsidRPr="003948BA">
        <w:rPr>
          <w:b/>
          <w:sz w:val="20"/>
        </w:rPr>
        <w:t xml:space="preserve">“Par Value” </w:t>
      </w:r>
      <w:r w:rsidRPr="003948BA">
        <w:rPr>
          <w:sz w:val="20"/>
        </w:rPr>
        <w:t xml:space="preserve">means the face value of </w:t>
      </w:r>
      <w:r w:rsidRPr="003948BA">
        <w:rPr>
          <w:b/>
          <w:sz w:val="20"/>
        </w:rPr>
        <w:t xml:space="preserve">Rs. 100 </w:t>
      </w:r>
      <w:r w:rsidRPr="003948BA">
        <w:rPr>
          <w:sz w:val="20"/>
        </w:rPr>
        <w:t xml:space="preserve">for a Unit of Allocation Plan under the </w:t>
      </w:r>
      <w:r w:rsidR="00301218">
        <w:rPr>
          <w:sz w:val="20"/>
        </w:rPr>
        <w:t>Scheme</w:t>
      </w:r>
    </w:p>
    <w:p w:rsidR="005E5B48" w:rsidRPr="003948BA" w:rsidRDefault="005E5B48">
      <w:pPr>
        <w:pStyle w:val="BodyText"/>
        <w:spacing w:before="1"/>
      </w:pPr>
    </w:p>
    <w:p w:rsidR="005E5B48" w:rsidRPr="003948BA" w:rsidRDefault="00814043">
      <w:pPr>
        <w:pStyle w:val="BodyText"/>
        <w:spacing w:line="242" w:lineRule="auto"/>
        <w:ind w:left="1460" w:right="1025"/>
        <w:jc w:val="both"/>
      </w:pPr>
      <w:r w:rsidRPr="003948BA">
        <w:rPr>
          <w:b/>
        </w:rPr>
        <w:t xml:space="preserve">“Personal Law” </w:t>
      </w:r>
      <w:r w:rsidRPr="003948BA">
        <w:t>means the law of inheritance and succession as applicable to the individual Unit Holder.</w:t>
      </w:r>
    </w:p>
    <w:p w:rsidR="005E5B48" w:rsidRPr="003948BA" w:rsidRDefault="005E5B48">
      <w:pPr>
        <w:pStyle w:val="BodyText"/>
        <w:spacing w:before="3"/>
        <w:rPr>
          <w:sz w:val="19"/>
        </w:rPr>
      </w:pPr>
    </w:p>
    <w:p w:rsidR="005E5B48" w:rsidRPr="003948BA" w:rsidRDefault="00814043">
      <w:pPr>
        <w:pStyle w:val="BodyText"/>
        <w:spacing w:line="242" w:lineRule="auto"/>
        <w:ind w:left="1460" w:right="1009"/>
        <w:jc w:val="both"/>
      </w:pPr>
      <w:r w:rsidRPr="003948BA">
        <w:rPr>
          <w:b/>
        </w:rPr>
        <w:t xml:space="preserve">“Pledge Form” </w:t>
      </w:r>
      <w:r w:rsidRPr="003948BA">
        <w:t>means a standardized form prescribed by the Management Company to be duly filled by the investor to Pledge his/her Units and will be stated in this Offering Document.</w:t>
      </w:r>
    </w:p>
    <w:p w:rsidR="005E5B48" w:rsidRPr="003948BA" w:rsidRDefault="005E5B48">
      <w:pPr>
        <w:pStyle w:val="BodyText"/>
        <w:spacing w:before="5"/>
        <w:rPr>
          <w:sz w:val="19"/>
        </w:rPr>
      </w:pPr>
    </w:p>
    <w:p w:rsidR="009A77F6" w:rsidRPr="003948BA" w:rsidRDefault="009A77F6" w:rsidP="00507FA2">
      <w:pPr>
        <w:tabs>
          <w:tab w:val="left" w:pos="360"/>
        </w:tabs>
        <w:adjustRightInd w:val="0"/>
        <w:ind w:left="720" w:right="1070"/>
        <w:jc w:val="both"/>
        <w:rPr>
          <w:szCs w:val="24"/>
        </w:rPr>
      </w:pPr>
      <w:r w:rsidRPr="003948BA">
        <w:rPr>
          <w:sz w:val="19"/>
        </w:rPr>
        <w:tab/>
      </w:r>
      <w:r w:rsidRPr="003948BA">
        <w:rPr>
          <w:b/>
          <w:sz w:val="20"/>
          <w:szCs w:val="24"/>
        </w:rPr>
        <w:t>“Principal Preservation Segment</w:t>
      </w:r>
      <w:r w:rsidR="00301218">
        <w:rPr>
          <w:b/>
          <w:sz w:val="20"/>
          <w:szCs w:val="24"/>
        </w:rPr>
        <w:t xml:space="preserve"> (for CPPI based Plan)</w:t>
      </w:r>
      <w:r w:rsidRPr="003948BA">
        <w:rPr>
          <w:b/>
          <w:sz w:val="20"/>
          <w:szCs w:val="24"/>
        </w:rPr>
        <w:t>”</w:t>
      </w:r>
      <w:r w:rsidRPr="003948BA">
        <w:rPr>
          <w:sz w:val="20"/>
          <w:szCs w:val="24"/>
        </w:rPr>
        <w:t xml:space="preserve"> </w:t>
      </w:r>
      <w:r w:rsidRPr="003948BA">
        <w:rPr>
          <w:szCs w:val="24"/>
        </w:rPr>
        <w:t>means</w:t>
      </w:r>
    </w:p>
    <w:p w:rsidR="009A77F6" w:rsidRPr="003948BA" w:rsidRDefault="009A77F6" w:rsidP="00507FA2">
      <w:pPr>
        <w:tabs>
          <w:tab w:val="left" w:pos="360"/>
        </w:tabs>
        <w:adjustRightInd w:val="0"/>
        <w:ind w:left="720" w:right="1070"/>
        <w:jc w:val="both"/>
        <w:rPr>
          <w:szCs w:val="24"/>
        </w:rPr>
      </w:pPr>
    </w:p>
    <w:p w:rsidR="009A77F6" w:rsidRPr="003948BA" w:rsidRDefault="009A77F6" w:rsidP="00A002A6">
      <w:pPr>
        <w:pStyle w:val="ListParagraph"/>
        <w:widowControl/>
        <w:numPr>
          <w:ilvl w:val="0"/>
          <w:numId w:val="43"/>
        </w:numPr>
        <w:tabs>
          <w:tab w:val="left" w:pos="360"/>
        </w:tabs>
        <w:adjustRightInd w:val="0"/>
        <w:ind w:right="1070"/>
        <w:contextualSpacing/>
        <w:jc w:val="both"/>
        <w:rPr>
          <w:szCs w:val="24"/>
        </w:rPr>
      </w:pPr>
      <w:r w:rsidRPr="003948BA">
        <w:rPr>
          <w:sz w:val="20"/>
          <w:szCs w:val="20"/>
        </w:rPr>
        <w:t xml:space="preserve">Islamic </w:t>
      </w:r>
      <w:r w:rsidRPr="003948BA">
        <w:rPr>
          <w:szCs w:val="24"/>
        </w:rPr>
        <w:t>Money Market/</w:t>
      </w:r>
      <w:r w:rsidRPr="003948BA">
        <w:rPr>
          <w:sz w:val="20"/>
          <w:szCs w:val="20"/>
        </w:rPr>
        <w:t xml:space="preserve"> Islamic </w:t>
      </w:r>
      <w:r w:rsidRPr="003948BA">
        <w:rPr>
          <w:szCs w:val="24"/>
        </w:rPr>
        <w:t>Sovereign Income Scheme(s) offered by the Management Company and other AMCs</w:t>
      </w:r>
    </w:p>
    <w:p w:rsidR="00765E07" w:rsidRPr="003948BA" w:rsidRDefault="009A77F6" w:rsidP="00A002A6">
      <w:pPr>
        <w:pStyle w:val="ListParagraph"/>
        <w:widowControl/>
        <w:numPr>
          <w:ilvl w:val="0"/>
          <w:numId w:val="43"/>
        </w:numPr>
        <w:tabs>
          <w:tab w:val="left" w:pos="360"/>
        </w:tabs>
        <w:adjustRightInd w:val="0"/>
        <w:ind w:right="1070"/>
        <w:contextualSpacing/>
        <w:jc w:val="both"/>
        <w:rPr>
          <w:sz w:val="19"/>
          <w:szCs w:val="20"/>
        </w:rPr>
      </w:pPr>
      <w:r w:rsidRPr="003948BA">
        <w:rPr>
          <w:sz w:val="20"/>
          <w:szCs w:val="20"/>
        </w:rPr>
        <w:t xml:space="preserve">Islamic </w:t>
      </w:r>
      <w:r w:rsidRPr="003948BA">
        <w:rPr>
          <w:szCs w:val="24"/>
        </w:rPr>
        <w:t xml:space="preserve">bank accounts </w:t>
      </w:r>
      <w:r w:rsidRPr="003948BA">
        <w:rPr>
          <w:color w:val="000000"/>
          <w:sz w:val="20"/>
          <w:szCs w:val="20"/>
        </w:rPr>
        <w:t xml:space="preserve">or Islamic window of commercial bank accounts </w:t>
      </w:r>
      <w:r w:rsidRPr="003948BA">
        <w:rPr>
          <w:szCs w:val="24"/>
        </w:rPr>
        <w:t>(excluding TDRs, Certificate of  Investments, &amp; Certificate of Deposits)</w:t>
      </w:r>
    </w:p>
    <w:p w:rsidR="009A77F6" w:rsidRPr="003948BA" w:rsidRDefault="009A77F6" w:rsidP="00507FA2">
      <w:pPr>
        <w:pStyle w:val="BodyText"/>
        <w:spacing w:before="5"/>
        <w:ind w:right="1070"/>
        <w:rPr>
          <w:sz w:val="19"/>
        </w:rPr>
      </w:pPr>
    </w:p>
    <w:p w:rsidR="005E5B48" w:rsidRPr="003948BA" w:rsidRDefault="00814043">
      <w:pPr>
        <w:spacing w:line="244" w:lineRule="auto"/>
        <w:ind w:left="1460" w:right="1020"/>
        <w:jc w:val="both"/>
        <w:rPr>
          <w:sz w:val="20"/>
        </w:rPr>
      </w:pPr>
      <w:r w:rsidRPr="003948BA">
        <w:rPr>
          <w:b/>
          <w:sz w:val="20"/>
        </w:rPr>
        <w:t xml:space="preserve">“Profit Distribution Date” </w:t>
      </w:r>
      <w:r w:rsidRPr="003948BA">
        <w:rPr>
          <w:sz w:val="20"/>
        </w:rPr>
        <w:t>means the date on which the Management Company decides to distribute the profits (if any).</w:t>
      </w:r>
    </w:p>
    <w:p w:rsidR="005E5B48" w:rsidRPr="003948BA" w:rsidRDefault="005E5B48">
      <w:pPr>
        <w:pStyle w:val="BodyText"/>
        <w:spacing w:before="1"/>
        <w:rPr>
          <w:sz w:val="19"/>
        </w:rPr>
      </w:pPr>
    </w:p>
    <w:p w:rsidR="005E5B48" w:rsidRPr="003948BA" w:rsidRDefault="00814043">
      <w:pPr>
        <w:spacing w:line="244" w:lineRule="auto"/>
        <w:ind w:left="1460" w:right="1026"/>
        <w:jc w:val="both"/>
        <w:rPr>
          <w:sz w:val="20"/>
        </w:rPr>
      </w:pPr>
      <w:r w:rsidRPr="003948BA">
        <w:rPr>
          <w:b/>
          <w:sz w:val="20"/>
        </w:rPr>
        <w:t xml:space="preserve">“Provincial Governments” </w:t>
      </w:r>
      <w:r w:rsidRPr="003948BA">
        <w:rPr>
          <w:sz w:val="20"/>
        </w:rPr>
        <w:t>mean the Provincial Governments of all four provinces of Pakistan.</w:t>
      </w:r>
    </w:p>
    <w:p w:rsidR="005E5B48" w:rsidRPr="003948BA" w:rsidRDefault="005E5B48">
      <w:pPr>
        <w:pStyle w:val="BodyText"/>
        <w:spacing w:before="3"/>
        <w:rPr>
          <w:sz w:val="19"/>
        </w:rPr>
      </w:pPr>
    </w:p>
    <w:p w:rsidR="005E5B48" w:rsidRPr="003948BA" w:rsidRDefault="00814043">
      <w:pPr>
        <w:pStyle w:val="BodyText"/>
        <w:spacing w:before="1" w:line="242" w:lineRule="auto"/>
        <w:ind w:left="1460" w:right="1018"/>
        <w:jc w:val="both"/>
      </w:pPr>
      <w:r w:rsidRPr="003948BA">
        <w:rPr>
          <w:b/>
        </w:rPr>
        <w:t xml:space="preserve">“Redemption Form” </w:t>
      </w:r>
      <w:r w:rsidRPr="003948BA">
        <w:t>means a standardized form prescribed by the Management Company to be duly filled by the investor to redeem Units and will be stated in this Offering Document.</w:t>
      </w:r>
    </w:p>
    <w:p w:rsidR="005E5B48" w:rsidRPr="003948BA" w:rsidRDefault="005E5B48">
      <w:pPr>
        <w:pStyle w:val="BodyText"/>
        <w:spacing w:before="3"/>
        <w:rPr>
          <w:sz w:val="19"/>
        </w:rPr>
      </w:pPr>
    </w:p>
    <w:p w:rsidR="005E5B48" w:rsidRPr="003948BA" w:rsidRDefault="00814043">
      <w:pPr>
        <w:pStyle w:val="BodyText"/>
        <w:spacing w:line="244" w:lineRule="auto"/>
        <w:ind w:left="1460" w:right="1014"/>
        <w:jc w:val="both"/>
      </w:pPr>
      <w:r w:rsidRPr="003948BA">
        <w:rPr>
          <w:b/>
        </w:rPr>
        <w:t xml:space="preserve">“Redemption Price or Repurchase Price” </w:t>
      </w:r>
      <w:r w:rsidRPr="003948BA">
        <w:t>means the amount to be paid to the relevant Holder of a Unit of an Allocation Plan upon redemption of that Unit, such amount to be determined pursuant to this document.</w:t>
      </w:r>
    </w:p>
    <w:p w:rsidR="005E5B48" w:rsidRPr="003948BA" w:rsidRDefault="005E5B48">
      <w:pPr>
        <w:pStyle w:val="BodyText"/>
        <w:spacing w:before="9"/>
        <w:rPr>
          <w:sz w:val="18"/>
        </w:rPr>
      </w:pPr>
    </w:p>
    <w:p w:rsidR="005E5B48" w:rsidRPr="003948BA" w:rsidRDefault="00814043">
      <w:pPr>
        <w:ind w:left="1460"/>
        <w:jc w:val="both"/>
        <w:rPr>
          <w:sz w:val="20"/>
        </w:rPr>
      </w:pPr>
      <w:r w:rsidRPr="003948BA">
        <w:rPr>
          <w:b/>
          <w:sz w:val="20"/>
        </w:rPr>
        <w:t xml:space="preserve">“Register Function” </w:t>
      </w:r>
      <w:r w:rsidRPr="003948BA">
        <w:rPr>
          <w:sz w:val="20"/>
        </w:rPr>
        <w:t>means the functions with regard to:</w:t>
      </w:r>
    </w:p>
    <w:p w:rsidR="005E5B48" w:rsidRPr="003948BA" w:rsidRDefault="00814043" w:rsidP="00A002A6">
      <w:pPr>
        <w:pStyle w:val="ListParagraph"/>
        <w:numPr>
          <w:ilvl w:val="0"/>
          <w:numId w:val="2"/>
        </w:numPr>
        <w:tabs>
          <w:tab w:val="left" w:pos="3083"/>
        </w:tabs>
        <w:spacing w:before="5"/>
        <w:ind w:right="1852"/>
        <w:rPr>
          <w:sz w:val="20"/>
        </w:rPr>
      </w:pPr>
      <w:r w:rsidRPr="003948BA">
        <w:rPr>
          <w:sz w:val="20"/>
        </w:rPr>
        <w:t>Maintaining the Register, including keeping a record of change of addresses/other particulars of the</w:t>
      </w:r>
      <w:r w:rsidRPr="003948BA">
        <w:rPr>
          <w:spacing w:val="-10"/>
          <w:sz w:val="20"/>
        </w:rPr>
        <w:t xml:space="preserve"> </w:t>
      </w:r>
      <w:r w:rsidRPr="003948BA">
        <w:rPr>
          <w:sz w:val="20"/>
        </w:rPr>
        <w:t>Holders;</w:t>
      </w:r>
    </w:p>
    <w:p w:rsidR="005E5B48" w:rsidRPr="003948BA" w:rsidRDefault="00814043" w:rsidP="00A002A6">
      <w:pPr>
        <w:pStyle w:val="ListParagraph"/>
        <w:numPr>
          <w:ilvl w:val="0"/>
          <w:numId w:val="2"/>
        </w:numPr>
        <w:tabs>
          <w:tab w:val="left" w:pos="3083"/>
        </w:tabs>
        <w:spacing w:before="1"/>
        <w:rPr>
          <w:sz w:val="20"/>
        </w:rPr>
      </w:pPr>
      <w:r w:rsidRPr="003948BA">
        <w:rPr>
          <w:sz w:val="20"/>
        </w:rPr>
        <w:t>Issuing account statements to the</w:t>
      </w:r>
      <w:r w:rsidRPr="003948BA">
        <w:rPr>
          <w:spacing w:val="-12"/>
          <w:sz w:val="20"/>
        </w:rPr>
        <w:t xml:space="preserve"> </w:t>
      </w:r>
      <w:r w:rsidRPr="003948BA">
        <w:rPr>
          <w:sz w:val="20"/>
        </w:rPr>
        <w:t>Holders;</w:t>
      </w:r>
    </w:p>
    <w:p w:rsidR="005E5B48" w:rsidRPr="003948BA" w:rsidRDefault="005E5B48">
      <w:pPr>
        <w:pStyle w:val="BodyText"/>
        <w:spacing w:before="7"/>
        <w:rPr>
          <w:sz w:val="19"/>
        </w:rPr>
      </w:pPr>
    </w:p>
    <w:p w:rsidR="005E5B48" w:rsidRPr="003948BA" w:rsidRDefault="00814043" w:rsidP="00A002A6">
      <w:pPr>
        <w:pStyle w:val="ListParagraph"/>
        <w:numPr>
          <w:ilvl w:val="0"/>
          <w:numId w:val="2"/>
        </w:numPr>
        <w:tabs>
          <w:tab w:val="left" w:pos="3082"/>
          <w:tab w:val="left" w:pos="3083"/>
        </w:tabs>
        <w:spacing w:before="93"/>
        <w:ind w:right="1017"/>
        <w:rPr>
          <w:sz w:val="20"/>
        </w:rPr>
      </w:pPr>
      <w:r w:rsidRPr="003948BA">
        <w:rPr>
          <w:sz w:val="20"/>
        </w:rPr>
        <w:t>Issuing Certificate, including Certificates in lieu of undistributed income to Holders;</w:t>
      </w:r>
    </w:p>
    <w:p w:rsidR="005E5B48" w:rsidRPr="003948BA" w:rsidRDefault="00814043" w:rsidP="00A002A6">
      <w:pPr>
        <w:pStyle w:val="ListParagraph"/>
        <w:numPr>
          <w:ilvl w:val="0"/>
          <w:numId w:val="2"/>
        </w:numPr>
        <w:tabs>
          <w:tab w:val="left" w:pos="3083"/>
        </w:tabs>
        <w:spacing w:before="1"/>
        <w:rPr>
          <w:sz w:val="20"/>
        </w:rPr>
      </w:pPr>
      <w:r w:rsidRPr="003948BA">
        <w:rPr>
          <w:sz w:val="20"/>
        </w:rPr>
        <w:t>Cancelling old Certificates on redemption or replacement</w:t>
      </w:r>
      <w:r w:rsidRPr="003948BA">
        <w:rPr>
          <w:spacing w:val="-20"/>
          <w:sz w:val="20"/>
        </w:rPr>
        <w:t xml:space="preserve"> </w:t>
      </w:r>
      <w:r w:rsidRPr="003948BA">
        <w:rPr>
          <w:sz w:val="20"/>
        </w:rPr>
        <w:t>thereof;</w:t>
      </w:r>
    </w:p>
    <w:p w:rsidR="005E5B48" w:rsidRPr="003948BA" w:rsidRDefault="00814043" w:rsidP="00A002A6">
      <w:pPr>
        <w:pStyle w:val="ListParagraph"/>
        <w:numPr>
          <w:ilvl w:val="0"/>
          <w:numId w:val="2"/>
        </w:numPr>
        <w:tabs>
          <w:tab w:val="left" w:pos="3083"/>
        </w:tabs>
        <w:spacing w:before="1"/>
        <w:ind w:right="1020"/>
        <w:jc w:val="both"/>
        <w:rPr>
          <w:sz w:val="20"/>
        </w:rPr>
      </w:pPr>
      <w:r w:rsidRPr="003948BA">
        <w:rPr>
          <w:sz w:val="20"/>
        </w:rPr>
        <w:t>Processing of applications for issue, redemption, transfer and transmission of Units, recording of pledges, liens and changes in the data with regard to the</w:t>
      </w:r>
      <w:r w:rsidRPr="003948BA">
        <w:rPr>
          <w:spacing w:val="-9"/>
          <w:sz w:val="20"/>
        </w:rPr>
        <w:t xml:space="preserve"> </w:t>
      </w:r>
      <w:r w:rsidRPr="003948BA">
        <w:rPr>
          <w:sz w:val="20"/>
        </w:rPr>
        <w:t>Holders;</w:t>
      </w:r>
    </w:p>
    <w:p w:rsidR="005E5B48" w:rsidRPr="003948BA" w:rsidRDefault="00814043" w:rsidP="00A002A6">
      <w:pPr>
        <w:pStyle w:val="ListParagraph"/>
        <w:numPr>
          <w:ilvl w:val="0"/>
          <w:numId w:val="2"/>
        </w:numPr>
        <w:tabs>
          <w:tab w:val="left" w:pos="3080"/>
          <w:tab w:val="left" w:pos="3081"/>
        </w:tabs>
        <w:spacing w:line="229" w:lineRule="exact"/>
        <w:ind w:left="3080" w:hanging="358"/>
        <w:rPr>
          <w:sz w:val="20"/>
        </w:rPr>
      </w:pPr>
      <w:r w:rsidRPr="003948BA">
        <w:rPr>
          <w:sz w:val="20"/>
        </w:rPr>
        <w:t>Issuing and dispatching of</w:t>
      </w:r>
      <w:r w:rsidRPr="003948BA">
        <w:rPr>
          <w:spacing w:val="-6"/>
          <w:sz w:val="20"/>
        </w:rPr>
        <w:t xml:space="preserve"> </w:t>
      </w:r>
      <w:r w:rsidRPr="003948BA">
        <w:rPr>
          <w:sz w:val="20"/>
        </w:rPr>
        <w:t>Certificates;</w:t>
      </w:r>
    </w:p>
    <w:p w:rsidR="005E5B48" w:rsidRPr="003948BA" w:rsidRDefault="00814043" w:rsidP="00A002A6">
      <w:pPr>
        <w:pStyle w:val="ListParagraph"/>
        <w:numPr>
          <w:ilvl w:val="0"/>
          <w:numId w:val="2"/>
        </w:numPr>
        <w:tabs>
          <w:tab w:val="left" w:pos="3083"/>
        </w:tabs>
        <w:ind w:right="1012"/>
        <w:jc w:val="both"/>
        <w:rPr>
          <w:sz w:val="20"/>
        </w:rPr>
      </w:pPr>
      <w:r w:rsidRPr="003948BA">
        <w:rPr>
          <w:sz w:val="20"/>
        </w:rPr>
        <w:t>Dispatching income distribution warrants, and bank transfer intimation and distributing bonus Units or partly both and allocating Units to Holders on re-investment of</w:t>
      </w:r>
      <w:r w:rsidRPr="003948BA">
        <w:rPr>
          <w:spacing w:val="-12"/>
          <w:sz w:val="20"/>
        </w:rPr>
        <w:t xml:space="preserve"> </w:t>
      </w:r>
      <w:r w:rsidRPr="003948BA">
        <w:rPr>
          <w:sz w:val="20"/>
        </w:rPr>
        <w:t>dividends;</w:t>
      </w:r>
    </w:p>
    <w:p w:rsidR="005E5B48" w:rsidRPr="003948BA" w:rsidRDefault="00814043" w:rsidP="00A002A6">
      <w:pPr>
        <w:pStyle w:val="ListParagraph"/>
        <w:numPr>
          <w:ilvl w:val="0"/>
          <w:numId w:val="2"/>
        </w:numPr>
        <w:tabs>
          <w:tab w:val="left" w:pos="3083"/>
        </w:tabs>
        <w:ind w:right="1026"/>
        <w:rPr>
          <w:sz w:val="20"/>
        </w:rPr>
      </w:pPr>
      <w:r w:rsidRPr="003948BA">
        <w:rPr>
          <w:sz w:val="20"/>
        </w:rPr>
        <w:t>Receiving applications for redemption and transfer/transmission of Units directly from Holder or legal representatives or through</w:t>
      </w:r>
      <w:r w:rsidRPr="003948BA">
        <w:rPr>
          <w:spacing w:val="-27"/>
          <w:sz w:val="20"/>
        </w:rPr>
        <w:t xml:space="preserve"> </w:t>
      </w:r>
      <w:r w:rsidRPr="003948BA">
        <w:rPr>
          <w:sz w:val="20"/>
        </w:rPr>
        <w:t>Distributor;</w:t>
      </w:r>
    </w:p>
    <w:p w:rsidR="005E5B48" w:rsidRPr="003948BA" w:rsidRDefault="00814043" w:rsidP="00A002A6">
      <w:pPr>
        <w:pStyle w:val="ListParagraph"/>
        <w:numPr>
          <w:ilvl w:val="0"/>
          <w:numId w:val="2"/>
        </w:numPr>
        <w:tabs>
          <w:tab w:val="left" w:pos="3080"/>
          <w:tab w:val="left" w:pos="3081"/>
        </w:tabs>
        <w:ind w:left="3080" w:hanging="358"/>
        <w:rPr>
          <w:sz w:val="20"/>
        </w:rPr>
      </w:pPr>
      <w:r w:rsidRPr="003948BA">
        <w:rPr>
          <w:sz w:val="20"/>
        </w:rPr>
        <w:t>Maintaining record of lien/pledge/charge;</w:t>
      </w:r>
      <w:r w:rsidRPr="003948BA">
        <w:rPr>
          <w:spacing w:val="-16"/>
          <w:sz w:val="20"/>
        </w:rPr>
        <w:t xml:space="preserve"> </w:t>
      </w:r>
      <w:r w:rsidRPr="003948BA">
        <w:rPr>
          <w:sz w:val="20"/>
        </w:rPr>
        <w:t>and</w:t>
      </w:r>
    </w:p>
    <w:p w:rsidR="005E5B48" w:rsidRPr="003948BA" w:rsidRDefault="00814043" w:rsidP="00A002A6">
      <w:pPr>
        <w:pStyle w:val="ListParagraph"/>
        <w:numPr>
          <w:ilvl w:val="0"/>
          <w:numId w:val="2"/>
        </w:numPr>
        <w:tabs>
          <w:tab w:val="left" w:pos="3080"/>
          <w:tab w:val="left" w:pos="3081"/>
        </w:tabs>
        <w:ind w:left="3080" w:hanging="358"/>
        <w:rPr>
          <w:sz w:val="20"/>
        </w:rPr>
      </w:pPr>
      <w:r w:rsidRPr="003948BA">
        <w:rPr>
          <w:sz w:val="20"/>
        </w:rPr>
        <w:t>Keeping record of change of addresses/other particulars of the</w:t>
      </w:r>
      <w:r w:rsidRPr="003948BA">
        <w:rPr>
          <w:spacing w:val="-15"/>
          <w:sz w:val="20"/>
        </w:rPr>
        <w:t xml:space="preserve"> </w:t>
      </w:r>
      <w:r w:rsidRPr="003948BA">
        <w:rPr>
          <w:sz w:val="20"/>
        </w:rPr>
        <w:t>Holders.</w:t>
      </w:r>
    </w:p>
    <w:p w:rsidR="005E5B48" w:rsidRPr="003948BA" w:rsidRDefault="005E5B48">
      <w:pPr>
        <w:pStyle w:val="BodyText"/>
        <w:rPr>
          <w:sz w:val="22"/>
        </w:rPr>
      </w:pPr>
    </w:p>
    <w:p w:rsidR="005E5B48" w:rsidRPr="003948BA" w:rsidRDefault="005E5B48">
      <w:pPr>
        <w:pStyle w:val="BodyText"/>
        <w:spacing w:before="6"/>
        <w:rPr>
          <w:sz w:val="17"/>
        </w:rPr>
      </w:pPr>
    </w:p>
    <w:p w:rsidR="005E5B48" w:rsidRPr="003948BA" w:rsidRDefault="00814043">
      <w:pPr>
        <w:pStyle w:val="BodyText"/>
        <w:spacing w:line="242" w:lineRule="auto"/>
        <w:ind w:left="1460" w:right="1024"/>
        <w:jc w:val="both"/>
      </w:pPr>
      <w:r w:rsidRPr="003948BA">
        <w:rPr>
          <w:b/>
        </w:rPr>
        <w:t xml:space="preserve">“Rules” </w:t>
      </w:r>
      <w:r w:rsidRPr="003948BA">
        <w:t>mean Non-Banking Finance Companies (Establishment and Regulation) Rules 2003 as amended from time to time.</w:t>
      </w:r>
    </w:p>
    <w:p w:rsidR="005E5B48" w:rsidRPr="003948BA" w:rsidRDefault="005E5B48">
      <w:pPr>
        <w:pStyle w:val="BodyText"/>
        <w:spacing w:before="6"/>
        <w:rPr>
          <w:sz w:val="19"/>
        </w:rPr>
      </w:pPr>
    </w:p>
    <w:p w:rsidR="005E5B48" w:rsidRPr="003948BA" w:rsidRDefault="00814043">
      <w:pPr>
        <w:pStyle w:val="BodyText"/>
        <w:spacing w:line="244" w:lineRule="auto"/>
        <w:ind w:left="1460" w:right="1020"/>
        <w:jc w:val="both"/>
      </w:pPr>
      <w:r w:rsidRPr="003948BA">
        <w:rPr>
          <w:b/>
        </w:rPr>
        <w:t xml:space="preserve">“Regulations” </w:t>
      </w:r>
      <w:r w:rsidRPr="003948BA">
        <w:t>mean Non-Banking Finance Companies and Notified Entities Regulations, 2008 and the Schedules and Forms attached to it as amended/replaced from time to time.</w:t>
      </w:r>
    </w:p>
    <w:p w:rsidR="005E5B48" w:rsidRPr="003948BA" w:rsidRDefault="005E5B48">
      <w:pPr>
        <w:pStyle w:val="BodyText"/>
        <w:spacing w:before="1"/>
        <w:rPr>
          <w:sz w:val="19"/>
        </w:rPr>
      </w:pPr>
    </w:p>
    <w:p w:rsidR="00473751" w:rsidRDefault="00814043" w:rsidP="0075128B">
      <w:pPr>
        <w:pStyle w:val="BodyText"/>
        <w:ind w:left="1460" w:right="1009"/>
        <w:jc w:val="both"/>
      </w:pPr>
      <w:r w:rsidRPr="003948BA">
        <w:rPr>
          <w:b/>
        </w:rPr>
        <w:t xml:space="preserve">“Sales Load” </w:t>
      </w:r>
      <w:r w:rsidR="00301218" w:rsidRPr="00301218">
        <w:t>mean</w:t>
      </w:r>
      <w:r w:rsidR="00473751">
        <w:t>s</w:t>
      </w:r>
      <w:r w:rsidR="00301218" w:rsidRPr="00301218">
        <w:t xml:space="preserve"> </w:t>
      </w:r>
      <w:r w:rsidR="00473751">
        <w:t>front end load deducted at the time of investment or back end load charged at the time of redemption from the CIS. However, the load charged upon redemption and which forms part of the CIS property shall not classify as sales load.</w:t>
      </w:r>
    </w:p>
    <w:p w:rsidR="00473751" w:rsidRDefault="00473751" w:rsidP="009A77F6">
      <w:pPr>
        <w:pStyle w:val="BodyText"/>
        <w:ind w:left="1460" w:right="1009"/>
        <w:jc w:val="both"/>
      </w:pPr>
    </w:p>
    <w:p w:rsidR="005E5B48" w:rsidRPr="003948BA" w:rsidRDefault="00301218" w:rsidP="009A77F6">
      <w:pPr>
        <w:pStyle w:val="BodyText"/>
        <w:ind w:left="1460" w:right="1009"/>
        <w:jc w:val="both"/>
      </w:pPr>
      <w:r w:rsidRPr="007C4D3F">
        <w:rPr>
          <w:b/>
        </w:rPr>
        <w:t>Front end load and Back-end load (as Deferred Sales load)</w:t>
      </w:r>
      <w:r w:rsidRPr="00301218">
        <w:t xml:space="preserve"> not exceeding three percent of NAV of Allocation Plan or as may be allowed under the Regulations, which may be included in the offer price or deducted from the NAV of Allocation Plan in order to determine the Redemption Price of Units.</w:t>
      </w:r>
      <w:r>
        <w:t xml:space="preserve"> A </w:t>
      </w:r>
      <w:r w:rsidR="009A77F6" w:rsidRPr="003948BA">
        <w:t xml:space="preserve">sales load </w:t>
      </w:r>
      <w:r>
        <w:t xml:space="preserve">from </w:t>
      </w:r>
      <w:r w:rsidR="00824E9F" w:rsidRPr="003948BA">
        <w:t>0% to</w:t>
      </w:r>
      <w:r w:rsidR="009A77F6" w:rsidRPr="003948BA">
        <w:t xml:space="preserve"> 1.5% of the NAV per unit </w:t>
      </w:r>
      <w:r>
        <w:t xml:space="preserve">may be charged </w:t>
      </w:r>
      <w:r w:rsidR="009A77F6" w:rsidRPr="003948BA">
        <w:t>where transactions are done online or through a website</w:t>
      </w:r>
      <w:r>
        <w:t xml:space="preserve"> of the Management Company</w:t>
      </w:r>
      <w:r w:rsidR="009A77F6" w:rsidRPr="003948BA">
        <w:t>.</w:t>
      </w:r>
    </w:p>
    <w:p w:rsidR="009A77F6" w:rsidRPr="003948BA" w:rsidRDefault="009A77F6" w:rsidP="009A77F6">
      <w:pPr>
        <w:pStyle w:val="BodyText"/>
        <w:ind w:left="1460" w:right="1009"/>
        <w:jc w:val="both"/>
        <w:rPr>
          <w:sz w:val="19"/>
        </w:rPr>
      </w:pPr>
    </w:p>
    <w:p w:rsidR="005E5B48" w:rsidRPr="003948BA" w:rsidRDefault="00814043">
      <w:pPr>
        <w:pStyle w:val="BodyText"/>
        <w:spacing w:before="1" w:line="242" w:lineRule="auto"/>
        <w:ind w:left="1460" w:right="1011"/>
        <w:jc w:val="both"/>
      </w:pPr>
      <w:r w:rsidRPr="003948BA">
        <w:rPr>
          <w:b/>
        </w:rPr>
        <w:t xml:space="preserve">“SECP” or “Commission” </w:t>
      </w:r>
      <w:r w:rsidRPr="003948BA">
        <w:t>means Securities and Exchange Commission of Pakistan established under Securities and Exchange Commission of Pakistan Act, 1997 and shall include its successor.</w:t>
      </w:r>
    </w:p>
    <w:p w:rsidR="005E5B48" w:rsidRPr="003948BA" w:rsidRDefault="005E5B48">
      <w:pPr>
        <w:pStyle w:val="BodyText"/>
        <w:spacing w:before="6"/>
        <w:rPr>
          <w:sz w:val="19"/>
        </w:rPr>
      </w:pPr>
    </w:p>
    <w:p w:rsidR="005E5B48" w:rsidRPr="003948BA" w:rsidRDefault="00814043">
      <w:pPr>
        <w:pStyle w:val="BodyText"/>
        <w:ind w:left="1460" w:right="1020"/>
        <w:jc w:val="both"/>
      </w:pPr>
      <w:r w:rsidRPr="003948BA">
        <w:rPr>
          <w:b/>
        </w:rPr>
        <w:t xml:space="preserve">“Special </w:t>
      </w:r>
      <w:r w:rsidR="00DF4903" w:rsidRPr="003948BA">
        <w:rPr>
          <w:b/>
        </w:rPr>
        <w:t>Request</w:t>
      </w:r>
      <w:r w:rsidRPr="003948BA">
        <w:rPr>
          <w:b/>
        </w:rPr>
        <w:t xml:space="preserve"> Form” </w:t>
      </w:r>
      <w:r w:rsidRPr="003948BA">
        <w:t>means a standardized form prescribed by the Management Company to be duly filled by the investor to change his/her particulars and will be stated in this Offering Document.</w:t>
      </w:r>
    </w:p>
    <w:p w:rsidR="005E5B48" w:rsidRPr="003948BA" w:rsidRDefault="005E5B48">
      <w:pPr>
        <w:pStyle w:val="BodyText"/>
        <w:spacing w:before="10"/>
        <w:rPr>
          <w:sz w:val="19"/>
        </w:rPr>
      </w:pPr>
    </w:p>
    <w:p w:rsidR="005E5B48" w:rsidRPr="003948BA" w:rsidRDefault="00814043">
      <w:pPr>
        <w:pStyle w:val="BodyText"/>
        <w:spacing w:before="1" w:line="242" w:lineRule="auto"/>
        <w:ind w:left="1460" w:right="1020"/>
        <w:jc w:val="both"/>
      </w:pPr>
      <w:r w:rsidRPr="003948BA">
        <w:rPr>
          <w:b/>
        </w:rPr>
        <w:t xml:space="preserve">“Stock Exchange” </w:t>
      </w:r>
      <w:r w:rsidRPr="003948BA">
        <w:t>means</w:t>
      </w:r>
      <w:r w:rsidR="00FB0549">
        <w:t xml:space="preserve"> a public company that is licensed by the Commission as a </w:t>
      </w:r>
      <w:r w:rsidR="00301218">
        <w:t>securities exchange under</w:t>
      </w:r>
      <w:r w:rsidR="00301218" w:rsidRPr="00301218">
        <w:t xml:space="preserve"> section 5</w:t>
      </w:r>
      <w:r w:rsidR="00301218">
        <w:t xml:space="preserve"> of </w:t>
      </w:r>
      <w:r w:rsidR="00FB0549">
        <w:t>Securities Act 2015</w:t>
      </w:r>
      <w:r w:rsidRPr="003948BA">
        <w:t>.</w:t>
      </w:r>
    </w:p>
    <w:p w:rsidR="005E5B48" w:rsidRPr="003948BA" w:rsidRDefault="005E5B48">
      <w:pPr>
        <w:pStyle w:val="BodyText"/>
        <w:spacing w:before="3"/>
        <w:rPr>
          <w:sz w:val="19"/>
        </w:rPr>
      </w:pPr>
    </w:p>
    <w:p w:rsidR="005E5B48" w:rsidRDefault="00814043">
      <w:pPr>
        <w:pStyle w:val="BodyText"/>
        <w:spacing w:line="242" w:lineRule="auto"/>
        <w:ind w:left="1460" w:right="1024"/>
        <w:jc w:val="both"/>
      </w:pPr>
      <w:r w:rsidRPr="003948BA">
        <w:rPr>
          <w:b/>
        </w:rPr>
        <w:lastRenderedPageBreak/>
        <w:t>“</w:t>
      </w:r>
      <w:proofErr w:type="spellStart"/>
      <w:r w:rsidRPr="003948BA">
        <w:rPr>
          <w:b/>
        </w:rPr>
        <w:t>Sukuk</w:t>
      </w:r>
      <w:proofErr w:type="spellEnd"/>
      <w:r w:rsidRPr="003948BA">
        <w:rPr>
          <w:b/>
        </w:rPr>
        <w:t xml:space="preserve">” </w:t>
      </w:r>
      <w:r w:rsidRPr="003948BA">
        <w:t>means a type of Islamic bond that is backed by assets of the issuer that earn profit or rent.</w:t>
      </w:r>
    </w:p>
    <w:p w:rsidR="005E5B48" w:rsidRPr="003948BA" w:rsidRDefault="005E5B48">
      <w:pPr>
        <w:pStyle w:val="BodyText"/>
        <w:spacing w:before="6"/>
        <w:rPr>
          <w:sz w:val="19"/>
        </w:rPr>
      </w:pPr>
    </w:p>
    <w:p w:rsidR="005E5B48" w:rsidRPr="003948BA" w:rsidRDefault="00814043">
      <w:pPr>
        <w:pStyle w:val="BodyText"/>
        <w:ind w:left="1460" w:right="1012"/>
        <w:jc w:val="both"/>
      </w:pPr>
      <w:r w:rsidRPr="003948BA">
        <w:t>“</w:t>
      </w:r>
      <w:r w:rsidRPr="003948BA">
        <w:rPr>
          <w:b/>
        </w:rPr>
        <w:t>Term-Based Allocation Plans</w:t>
      </w:r>
      <w:r w:rsidRPr="003948BA">
        <w:t xml:space="preserve">” means the allocation plans that follow an investment strategy designed to achieve its objective over a certain pre-defined time-period. Such plans are open for subscription for a limited time period only. Investors should stay invested in such plans till their </w:t>
      </w:r>
      <w:r w:rsidR="00473751">
        <w:t>maturity</w:t>
      </w:r>
      <w:r w:rsidR="00493098" w:rsidRPr="003948BA">
        <w:t xml:space="preserve"> </w:t>
      </w:r>
      <w:r w:rsidRPr="003948BA">
        <w:t xml:space="preserve">in order to benefit from their strategy / features. Redemption before </w:t>
      </w:r>
      <w:r w:rsidR="00473751">
        <w:t>maturity</w:t>
      </w:r>
      <w:r w:rsidR="00493098" w:rsidRPr="003948BA">
        <w:t xml:space="preserve"> </w:t>
      </w:r>
      <w:r w:rsidRPr="003948BA">
        <w:t>is discouraged through contingent load</w:t>
      </w:r>
      <w:r w:rsidR="00C95432" w:rsidRPr="003948BA">
        <w:t xml:space="preserve"> or Back End Load</w:t>
      </w:r>
      <w:r w:rsidR="00947CC9" w:rsidRPr="003948BA">
        <w:t xml:space="preserve"> </w:t>
      </w:r>
      <w:r w:rsidR="00C95432" w:rsidRPr="003948BA">
        <w:t>(Deferred Sales Load)</w:t>
      </w:r>
      <w:r w:rsidRPr="003948BA">
        <w:t xml:space="preserve"> / exit</w:t>
      </w:r>
      <w:r w:rsidRPr="003948BA">
        <w:rPr>
          <w:spacing w:val="-26"/>
        </w:rPr>
        <w:t xml:space="preserve"> </w:t>
      </w:r>
      <w:r w:rsidRPr="003948BA">
        <w:t>fee.</w:t>
      </w:r>
    </w:p>
    <w:p w:rsidR="005E5B48" w:rsidRPr="003948BA" w:rsidRDefault="005E5B48">
      <w:pPr>
        <w:pStyle w:val="BodyText"/>
      </w:pPr>
    </w:p>
    <w:p w:rsidR="005E5B48" w:rsidRPr="003948BA" w:rsidRDefault="00814043">
      <w:pPr>
        <w:pStyle w:val="BodyText"/>
        <w:ind w:left="1460" w:right="1014"/>
        <w:jc w:val="both"/>
      </w:pPr>
      <w:r w:rsidRPr="003948BA">
        <w:t>“</w:t>
      </w:r>
      <w:r w:rsidRPr="003948BA">
        <w:rPr>
          <w:b/>
        </w:rPr>
        <w:t>Transaction Costs</w:t>
      </w:r>
      <w:r w:rsidRPr="003948BA">
        <w:t xml:space="preserve">” means the costs incurred or estimated by the Management Company to cover the costs (such as, but not restricted to, brokerage, Trustee charges, taxes or levies on transactions, etc.) related to the investing or disinvesting activity of the </w:t>
      </w:r>
      <w:proofErr w:type="spellStart"/>
      <w:r w:rsidRPr="003948BA">
        <w:t>Trust‟s</w:t>
      </w:r>
      <w:proofErr w:type="spellEnd"/>
      <w:r w:rsidRPr="003948BA">
        <w:t xml:space="preserve"> portfolio, </w:t>
      </w:r>
      <w:r w:rsidRPr="003948BA">
        <w:rPr>
          <w:i/>
        </w:rPr>
        <w:t>inter alia</w:t>
      </w:r>
      <w:r w:rsidRPr="003948BA">
        <w:t>, necessitated by creation or cancellation of Units. Such costs may be added to the NAV of the Allocation Plans to which the costs may be applicable for determining the Purchase (Offer) Price of such Units or be deducted from the NAV of the said Allocation Plan to which the costs may be applicable in determining the Repurchase (Redemption)</w:t>
      </w:r>
      <w:r w:rsidRPr="003948BA">
        <w:rPr>
          <w:spacing w:val="-23"/>
        </w:rPr>
        <w:t xml:space="preserve"> </w:t>
      </w:r>
      <w:r w:rsidRPr="003948BA">
        <w:t>Price.</w:t>
      </w:r>
    </w:p>
    <w:p w:rsidR="005E5B48" w:rsidRPr="003948BA" w:rsidRDefault="005E5B48">
      <w:pPr>
        <w:pStyle w:val="BodyText"/>
        <w:spacing w:before="6"/>
        <w:rPr>
          <w:sz w:val="19"/>
        </w:rPr>
      </w:pPr>
    </w:p>
    <w:p w:rsidR="005E5B48" w:rsidRPr="003948BA" w:rsidRDefault="00814043">
      <w:pPr>
        <w:pStyle w:val="BodyText"/>
        <w:spacing w:line="242" w:lineRule="auto"/>
        <w:ind w:left="1460" w:right="1023"/>
        <w:jc w:val="both"/>
      </w:pPr>
      <w:r w:rsidRPr="003948BA">
        <w:rPr>
          <w:b/>
        </w:rPr>
        <w:t xml:space="preserve">“Transfer Agent” </w:t>
      </w:r>
      <w:r w:rsidRPr="003948BA">
        <w:t>means a company including a Bank that the Management Company shall appoint for performing the Registrar Functions. The Management Company may itself perform the Registrar Function.</w:t>
      </w:r>
    </w:p>
    <w:p w:rsidR="00757A89" w:rsidRPr="003948BA" w:rsidRDefault="00757A89">
      <w:pPr>
        <w:rPr>
          <w:b/>
          <w:sz w:val="20"/>
          <w:szCs w:val="20"/>
        </w:rPr>
      </w:pPr>
    </w:p>
    <w:p w:rsidR="005E5B48" w:rsidRPr="003948BA" w:rsidRDefault="00814043">
      <w:pPr>
        <w:pStyle w:val="BodyText"/>
        <w:spacing w:before="93" w:line="242" w:lineRule="auto"/>
        <w:ind w:left="1460" w:right="1013"/>
        <w:jc w:val="both"/>
      </w:pPr>
      <w:r w:rsidRPr="003948BA">
        <w:rPr>
          <w:b/>
        </w:rPr>
        <w:t xml:space="preserve">“Transfer Form” </w:t>
      </w:r>
      <w:r w:rsidRPr="003948BA">
        <w:t>means a standardized form prescribed by the Management Company to be duly filed by the investor to transfer Units and will be stated in this Offering</w:t>
      </w:r>
      <w:r w:rsidRPr="003948BA">
        <w:rPr>
          <w:spacing w:val="-45"/>
        </w:rPr>
        <w:t xml:space="preserve"> </w:t>
      </w:r>
      <w:r w:rsidRPr="003948BA">
        <w:t>Document.</w:t>
      </w:r>
    </w:p>
    <w:p w:rsidR="005E5B48" w:rsidRPr="003948BA" w:rsidRDefault="005E5B48">
      <w:pPr>
        <w:pStyle w:val="BodyText"/>
        <w:spacing w:before="6"/>
        <w:rPr>
          <w:sz w:val="19"/>
        </w:rPr>
      </w:pPr>
    </w:p>
    <w:p w:rsidR="005E5B48" w:rsidRPr="003948BA" w:rsidRDefault="00814043">
      <w:pPr>
        <w:pStyle w:val="BodyText"/>
        <w:spacing w:line="242" w:lineRule="auto"/>
        <w:ind w:left="1460" w:right="1015"/>
        <w:jc w:val="both"/>
      </w:pPr>
      <w:r w:rsidRPr="003948BA">
        <w:rPr>
          <w:b/>
        </w:rPr>
        <w:t xml:space="preserve">“Trust Deed” or “Deed” </w:t>
      </w:r>
      <w:r w:rsidRPr="003948BA">
        <w:t>means the Trust Deed of the Fund executed between the Management Company and the Trustee along with all the exhibits appended hereto.</w:t>
      </w:r>
    </w:p>
    <w:p w:rsidR="005E5B48" w:rsidRPr="003948BA" w:rsidRDefault="005E5B48">
      <w:pPr>
        <w:pStyle w:val="BodyText"/>
        <w:spacing w:before="8"/>
        <w:rPr>
          <w:sz w:val="19"/>
        </w:rPr>
      </w:pPr>
    </w:p>
    <w:p w:rsidR="005E5B48" w:rsidRPr="003948BA" w:rsidRDefault="00814043">
      <w:pPr>
        <w:spacing w:before="1" w:line="242" w:lineRule="auto"/>
        <w:ind w:left="1460" w:right="1019"/>
        <w:jc w:val="both"/>
        <w:rPr>
          <w:sz w:val="20"/>
        </w:rPr>
      </w:pPr>
      <w:r w:rsidRPr="003948BA">
        <w:rPr>
          <w:b/>
          <w:sz w:val="20"/>
        </w:rPr>
        <w:t>“Trust” or “Unit Trust” or “Fund” or “Scheme”</w:t>
      </w:r>
      <w:r w:rsidR="00493098">
        <w:rPr>
          <w:b/>
          <w:sz w:val="20"/>
        </w:rPr>
        <w:t xml:space="preserve"> or “Al-Ameen Islamic Financial Planning Fund-IV” or “AIFPF-IV”</w:t>
      </w:r>
      <w:r w:rsidRPr="003948BA">
        <w:rPr>
          <w:b/>
          <w:sz w:val="20"/>
        </w:rPr>
        <w:t xml:space="preserve"> </w:t>
      </w:r>
      <w:r w:rsidRPr="003948BA">
        <w:rPr>
          <w:sz w:val="20"/>
        </w:rPr>
        <w:t>means the Unit Trust constituted by the Trust Deed for continuous offers for sale of Units of Allocation Plans under the Trust.</w:t>
      </w:r>
    </w:p>
    <w:p w:rsidR="005E5B48" w:rsidRPr="003948BA" w:rsidRDefault="005E5B48">
      <w:pPr>
        <w:pStyle w:val="BodyText"/>
        <w:spacing w:before="3"/>
        <w:rPr>
          <w:sz w:val="19"/>
        </w:rPr>
      </w:pPr>
    </w:p>
    <w:p w:rsidR="005E5B48" w:rsidRPr="003948BA" w:rsidRDefault="00814043">
      <w:pPr>
        <w:pStyle w:val="BodyText"/>
        <w:ind w:left="1460" w:right="1015"/>
        <w:jc w:val="both"/>
      </w:pPr>
      <w:r w:rsidRPr="003948BA">
        <w:rPr>
          <w:b/>
        </w:rPr>
        <w:t xml:space="preserve">“Trust Property under Allocation Plan” </w:t>
      </w:r>
      <w:r w:rsidRPr="003948BA">
        <w:t>means the aggregate proceeds of all units of the pertinent Allocation Plan issued from time to time after deducting Duties and Charges, and after deducting there from any applicable Front-end Load and includes Investment and all income, profit and other benefits arising wherefrom and all cash, bank balances and other assets and property of every description from the time being held or deemed to be held upon trust by the Trustee for the benefit of the Unit Holder(s) of the pertinent Allocation Plan, pursuant to this Deed, but does not include any amount available for distribution in the Distribution Account. Contingent Load and any profit on the Distribution Account of the Allocation Plans shall also form part of the Fund Property of Allocation Plan.</w:t>
      </w:r>
    </w:p>
    <w:p w:rsidR="005E5B48" w:rsidRPr="003948BA" w:rsidRDefault="005E5B48">
      <w:pPr>
        <w:pStyle w:val="BodyText"/>
      </w:pPr>
    </w:p>
    <w:p w:rsidR="005E5B48" w:rsidRPr="003948BA" w:rsidRDefault="00814043">
      <w:pPr>
        <w:pStyle w:val="BodyText"/>
        <w:ind w:left="1460" w:right="1010"/>
        <w:jc w:val="both"/>
      </w:pPr>
      <w:r w:rsidRPr="003948BA">
        <w:rPr>
          <w:b/>
        </w:rPr>
        <w:t xml:space="preserve">“Trust Property of the Scheme” </w:t>
      </w:r>
      <w:r w:rsidRPr="003948BA">
        <w:t>means the aggregate proceeds of all Units of all Allocation Plans issued from time to time after deducting Duties and Charges, and after deducting  there from any applicable Front-end Load and includes Investment and all income, profit and other benefits arising wherefrom and all cash, bank balances and other assets and property of every description from the time being held or deemed to be held upon trust by  the Trustee for the benefit of the Unit Holder(s) pursuant to this Deed but does not include any amount available for distribution in the Distribution Accounts of the Allocation Plans. Contingent Load and any profit on the Distribution Account of the Allocation Plans shall also form part of the Fund Property of the</w:t>
      </w:r>
      <w:r w:rsidRPr="003948BA">
        <w:rPr>
          <w:spacing w:val="-13"/>
        </w:rPr>
        <w:t xml:space="preserve"> </w:t>
      </w:r>
      <w:r w:rsidRPr="003948BA">
        <w:t>Scheme.</w:t>
      </w:r>
    </w:p>
    <w:p w:rsidR="005E5B48" w:rsidRPr="003948BA" w:rsidRDefault="005E5B48">
      <w:pPr>
        <w:pStyle w:val="BodyText"/>
        <w:spacing w:before="11"/>
        <w:rPr>
          <w:sz w:val="19"/>
        </w:rPr>
      </w:pPr>
    </w:p>
    <w:p w:rsidR="005E5B48" w:rsidRPr="003948BA" w:rsidRDefault="00814043">
      <w:pPr>
        <w:pStyle w:val="BodyText"/>
        <w:spacing w:line="242" w:lineRule="auto"/>
        <w:ind w:left="1460" w:right="1021"/>
        <w:jc w:val="both"/>
      </w:pPr>
      <w:r w:rsidRPr="003948BA">
        <w:rPr>
          <w:b/>
        </w:rPr>
        <w:t xml:space="preserve">“Unit” </w:t>
      </w:r>
      <w:r w:rsidRPr="003948BA">
        <w:t>means one undivided share in the Net Asset of the Allocation Plan(s) being offered under this Scheme and where the context so indicating a fraction thereof.</w:t>
      </w:r>
    </w:p>
    <w:p w:rsidR="005E5B48" w:rsidRPr="003948BA" w:rsidRDefault="005E5B48">
      <w:pPr>
        <w:pStyle w:val="BodyText"/>
        <w:rPr>
          <w:sz w:val="22"/>
        </w:rPr>
      </w:pPr>
    </w:p>
    <w:p w:rsidR="005E5B48" w:rsidRPr="003948BA" w:rsidRDefault="005E5B48">
      <w:pPr>
        <w:pStyle w:val="BodyText"/>
        <w:spacing w:before="9"/>
        <w:rPr>
          <w:sz w:val="17"/>
        </w:rPr>
      </w:pPr>
    </w:p>
    <w:p w:rsidR="005E5B48" w:rsidRPr="003948BA" w:rsidRDefault="00814043">
      <w:pPr>
        <w:pStyle w:val="BodyText"/>
        <w:ind w:left="1460" w:right="1017"/>
        <w:jc w:val="both"/>
      </w:pPr>
      <w:r w:rsidRPr="003948BA">
        <w:t>Words and expressions used but not defined herein shall have the meanings assigned to them in the Act and Rules and Regulations, words importing persons include corporations, words importing the masculine gender include the feminine gender, words importing singular include plural and words “written” or “in writing” include printing, engraving lithography, or other means of visible reproduction. The headings and table of contents are for convenience only and shall not affect the construction of the Trust Deed.</w:t>
      </w:r>
    </w:p>
    <w:p w:rsidR="005E5B48" w:rsidRPr="003948BA" w:rsidRDefault="005E5B48">
      <w:pPr>
        <w:jc w:val="both"/>
        <w:sectPr w:rsidR="005E5B48" w:rsidRPr="003948BA" w:rsidSect="00435106">
          <w:footerReference w:type="default" r:id="rId16"/>
          <w:pgSz w:w="11920" w:h="16850"/>
          <w:pgMar w:top="1020" w:right="340" w:bottom="980" w:left="880" w:header="722" w:footer="1001" w:gutter="0"/>
          <w:cols w:space="720"/>
        </w:sectPr>
      </w:pPr>
    </w:p>
    <w:p w:rsidR="005E5B48" w:rsidRPr="003948BA" w:rsidRDefault="005E5B48">
      <w:pPr>
        <w:pStyle w:val="BodyText"/>
      </w:pPr>
    </w:p>
    <w:p w:rsidR="005E5B48" w:rsidRPr="003948BA" w:rsidRDefault="005E5B48">
      <w:pPr>
        <w:pStyle w:val="BodyText"/>
        <w:spacing w:before="4"/>
        <w:rPr>
          <w:sz w:val="21"/>
        </w:rPr>
      </w:pPr>
    </w:p>
    <w:p w:rsidR="005E5B48" w:rsidRPr="003948BA" w:rsidRDefault="00814043">
      <w:pPr>
        <w:pStyle w:val="Heading2"/>
        <w:spacing w:before="93"/>
        <w:ind w:left="4621"/>
      </w:pPr>
      <w:proofErr w:type="gramStart"/>
      <w:r w:rsidRPr="003948BA">
        <w:t xml:space="preserve">Annexure </w:t>
      </w:r>
      <w:r w:rsidR="00AA2C24" w:rsidRPr="003948BA">
        <w:t>”</w:t>
      </w:r>
      <w:proofErr w:type="gramEnd"/>
      <w:r w:rsidR="00AA2C24" w:rsidRPr="003948BA">
        <w:t>A”</w:t>
      </w:r>
    </w:p>
    <w:p w:rsidR="005E5B48" w:rsidRPr="003948BA" w:rsidRDefault="005E5B48">
      <w:pPr>
        <w:pStyle w:val="BodyText"/>
        <w:rPr>
          <w:b/>
          <w:sz w:val="24"/>
        </w:rPr>
      </w:pPr>
    </w:p>
    <w:p w:rsidR="005E5B48" w:rsidRPr="003948BA" w:rsidRDefault="005E5B48">
      <w:pPr>
        <w:pStyle w:val="BodyText"/>
        <w:spacing w:before="5"/>
        <w:rPr>
          <w:b/>
        </w:rPr>
      </w:pPr>
    </w:p>
    <w:p w:rsidR="005E5B48" w:rsidRPr="003948BA" w:rsidRDefault="00814043" w:rsidP="007C4D3F">
      <w:pPr>
        <w:pStyle w:val="Heading4"/>
        <w:ind w:left="920" w:right="180"/>
        <w:jc w:val="both"/>
      </w:pPr>
      <w:r w:rsidRPr="003948BA">
        <w:t>The trustee remuneration shall consist of reimbursement of actual custodial expenses / charges plus the following tariff:</w:t>
      </w:r>
    </w:p>
    <w:p w:rsidR="005E5B48" w:rsidRPr="003948BA" w:rsidRDefault="005E5B48">
      <w:pPr>
        <w:pStyle w:val="BodyText"/>
      </w:pPr>
    </w:p>
    <w:p w:rsidR="005E5B48" w:rsidRPr="003948BA" w:rsidRDefault="005E5B48">
      <w:pPr>
        <w:pStyle w:val="BodyText"/>
      </w:pPr>
    </w:p>
    <w:p w:rsidR="005E5B48" w:rsidRPr="003948BA" w:rsidRDefault="005E5B48">
      <w:pPr>
        <w:pStyle w:val="BodyText"/>
      </w:pPr>
    </w:p>
    <w:p w:rsidR="005E5B48" w:rsidRPr="003948BA" w:rsidRDefault="005E5B48">
      <w:pPr>
        <w:pStyle w:val="BodyText"/>
        <w:spacing w:before="10"/>
        <w:rPr>
          <w:sz w:val="18"/>
        </w:rPr>
      </w:pPr>
    </w:p>
    <w:tbl>
      <w:tblPr>
        <w:tblStyle w:val="TableGrid"/>
        <w:tblW w:w="0" w:type="auto"/>
        <w:jc w:val="center"/>
        <w:tblLook w:val="04A0" w:firstRow="1" w:lastRow="0" w:firstColumn="1" w:lastColumn="0" w:noHBand="0" w:noVBand="1"/>
      </w:tblPr>
      <w:tblGrid>
        <w:gridCol w:w="3445"/>
      </w:tblGrid>
      <w:tr w:rsidR="00510DB3" w:rsidRPr="00204434" w:rsidTr="004079A3">
        <w:trPr>
          <w:jc w:val="center"/>
        </w:trPr>
        <w:tc>
          <w:tcPr>
            <w:tcW w:w="0" w:type="auto"/>
            <w:vAlign w:val="center"/>
          </w:tcPr>
          <w:p w:rsidR="00510DB3" w:rsidRPr="00204434" w:rsidRDefault="00510DB3" w:rsidP="004079A3">
            <w:pPr>
              <w:jc w:val="center"/>
              <w:rPr>
                <w:b/>
                <w:sz w:val="24"/>
                <w:szCs w:val="24"/>
              </w:rPr>
            </w:pPr>
            <w:r w:rsidRPr="00204434">
              <w:rPr>
                <w:b/>
                <w:sz w:val="24"/>
                <w:szCs w:val="24"/>
              </w:rPr>
              <w:t>Tariff</w:t>
            </w:r>
          </w:p>
        </w:tc>
      </w:tr>
      <w:tr w:rsidR="00510DB3" w:rsidRPr="00204434" w:rsidTr="004079A3">
        <w:trPr>
          <w:jc w:val="center"/>
        </w:trPr>
        <w:tc>
          <w:tcPr>
            <w:tcW w:w="0" w:type="auto"/>
          </w:tcPr>
          <w:p w:rsidR="00510DB3" w:rsidRPr="00DB23F9" w:rsidRDefault="00510DB3" w:rsidP="004079A3">
            <w:pPr>
              <w:jc w:val="both"/>
              <w:rPr>
                <w:sz w:val="22"/>
                <w:szCs w:val="22"/>
              </w:rPr>
            </w:pPr>
            <w:r w:rsidRPr="00706788">
              <w:rPr>
                <w:sz w:val="22"/>
                <w:szCs w:val="22"/>
              </w:rPr>
              <w:t>0.0</w:t>
            </w:r>
            <w:r>
              <w:rPr>
                <w:sz w:val="22"/>
                <w:szCs w:val="22"/>
              </w:rPr>
              <w:t>70</w:t>
            </w:r>
            <w:r w:rsidRPr="00706788">
              <w:rPr>
                <w:sz w:val="22"/>
                <w:szCs w:val="22"/>
              </w:rPr>
              <w:t>% per annum of Net Assets</w:t>
            </w:r>
          </w:p>
        </w:tc>
      </w:tr>
    </w:tbl>
    <w:p w:rsidR="006C7340" w:rsidRDefault="006C7340" w:rsidP="007C4D3F">
      <w:pPr>
        <w:spacing w:line="213" w:lineRule="exact"/>
        <w:jc w:val="center"/>
      </w:pPr>
    </w:p>
    <w:p w:rsidR="006C7340" w:rsidRDefault="006C7340" w:rsidP="00D662E2">
      <w:pPr>
        <w:spacing w:line="213" w:lineRule="exact"/>
      </w:pPr>
    </w:p>
    <w:p w:rsidR="00493098" w:rsidRDefault="00D662E2" w:rsidP="00493098">
      <w:pPr>
        <w:spacing w:line="213" w:lineRule="exact"/>
        <w:ind w:left="720"/>
        <w:jc w:val="both"/>
      </w:pPr>
      <w:r w:rsidRPr="00493098">
        <w:t xml:space="preserve">Note: The </w:t>
      </w:r>
      <w:r>
        <w:t>above</w:t>
      </w:r>
      <w:r w:rsidRPr="00493098">
        <w:t xml:space="preserve"> tariff shall only be applied if the fund has the objective to invest in other </w:t>
      </w:r>
    </w:p>
    <w:p w:rsidR="00493098" w:rsidRDefault="00D662E2" w:rsidP="00493098">
      <w:pPr>
        <w:spacing w:line="213" w:lineRule="exact"/>
        <w:ind w:left="720"/>
        <w:jc w:val="both"/>
      </w:pPr>
      <w:proofErr w:type="gramStart"/>
      <w:r w:rsidRPr="00493098">
        <w:t>collective</w:t>
      </w:r>
      <w:proofErr w:type="gramEnd"/>
      <w:r w:rsidRPr="00493098">
        <w:t xml:space="preserve"> investment schemes being managed by the same AMC and under our </w:t>
      </w:r>
    </w:p>
    <w:p w:rsidR="00D662E2" w:rsidRDefault="00493098" w:rsidP="00493098">
      <w:pPr>
        <w:spacing w:line="213" w:lineRule="exact"/>
        <w:ind w:left="720"/>
        <w:jc w:val="both"/>
      </w:pPr>
      <w:r w:rsidRPr="00493098">
        <w:t>Trusteeship</w:t>
      </w:r>
      <w:r w:rsidR="00D662E2" w:rsidRPr="00493098">
        <w:t>. Otherwise tariff “Tariff Structure for Other Open End Schemes” shall be applied.</w:t>
      </w:r>
    </w:p>
    <w:p w:rsidR="00D662E2" w:rsidRDefault="00D662E2" w:rsidP="00493098">
      <w:pPr>
        <w:spacing w:line="213" w:lineRule="exact"/>
        <w:ind w:left="720"/>
        <w:jc w:val="both"/>
      </w:pPr>
    </w:p>
    <w:p w:rsidR="00DF2332" w:rsidRPr="007C4D3F" w:rsidRDefault="00DF2332">
      <w:pPr>
        <w:spacing w:before="93"/>
        <w:ind w:left="1155" w:right="704"/>
        <w:jc w:val="center"/>
      </w:pPr>
    </w:p>
    <w:p w:rsidR="00DF2332" w:rsidRPr="007C4D3F" w:rsidRDefault="00DF2332">
      <w:pPr>
        <w:spacing w:before="93"/>
        <w:ind w:left="1155" w:right="704"/>
        <w:jc w:val="center"/>
      </w:pPr>
    </w:p>
    <w:p w:rsidR="00DF2332" w:rsidRPr="007C4D3F" w:rsidRDefault="00DF2332">
      <w:pPr>
        <w:spacing w:before="93"/>
        <w:ind w:left="1155" w:right="704"/>
        <w:jc w:val="cente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DF2332" w:rsidRDefault="00DF2332">
      <w:pPr>
        <w:spacing w:before="93"/>
        <w:ind w:left="1155" w:right="704"/>
        <w:jc w:val="center"/>
        <w:rPr>
          <w:b/>
        </w:rPr>
      </w:pPr>
    </w:p>
    <w:p w:rsidR="007C4D3F" w:rsidRDefault="007C4D3F">
      <w:pPr>
        <w:spacing w:before="93"/>
        <w:ind w:left="1155" w:right="704"/>
        <w:jc w:val="center"/>
        <w:rPr>
          <w:b/>
        </w:rPr>
      </w:pPr>
    </w:p>
    <w:p w:rsidR="007C4D3F" w:rsidRDefault="007C4D3F">
      <w:pPr>
        <w:spacing w:before="93"/>
        <w:ind w:left="1155" w:right="704"/>
        <w:jc w:val="center"/>
        <w:rPr>
          <w:b/>
        </w:rPr>
      </w:pPr>
    </w:p>
    <w:p w:rsidR="005E5B48" w:rsidRPr="003948BA" w:rsidRDefault="00814043">
      <w:pPr>
        <w:spacing w:before="93"/>
        <w:ind w:left="1155" w:right="704"/>
        <w:jc w:val="center"/>
        <w:rPr>
          <w:b/>
        </w:rPr>
      </w:pPr>
      <w:r w:rsidRPr="003948BA">
        <w:rPr>
          <w:b/>
        </w:rPr>
        <w:lastRenderedPageBreak/>
        <w:t>Annexure</w:t>
      </w:r>
      <w:r w:rsidR="00AA2C24" w:rsidRPr="003948BA">
        <w:rPr>
          <w:b/>
        </w:rPr>
        <w:t xml:space="preserve"> “B”</w:t>
      </w:r>
    </w:p>
    <w:p w:rsidR="005E5B48" w:rsidRPr="003948BA" w:rsidRDefault="005E5B48">
      <w:pPr>
        <w:pStyle w:val="BodyText"/>
        <w:rPr>
          <w:b/>
        </w:rPr>
      </w:pPr>
    </w:p>
    <w:p w:rsidR="005E5B48" w:rsidRPr="003948BA" w:rsidRDefault="005E5B48">
      <w:pPr>
        <w:pStyle w:val="BodyText"/>
        <w:rPr>
          <w:b/>
        </w:rPr>
      </w:pPr>
    </w:p>
    <w:p w:rsidR="005E5B48" w:rsidRPr="003948BA" w:rsidRDefault="00814043" w:rsidP="00A002A6">
      <w:pPr>
        <w:pStyle w:val="ListParagraph"/>
        <w:numPr>
          <w:ilvl w:val="0"/>
          <w:numId w:val="1"/>
        </w:numPr>
        <w:tabs>
          <w:tab w:val="left" w:pos="1640"/>
          <w:tab w:val="left" w:pos="1641"/>
        </w:tabs>
        <w:rPr>
          <w:b/>
        </w:rPr>
      </w:pPr>
      <w:r w:rsidRPr="003948BA">
        <w:rPr>
          <w:b/>
        </w:rPr>
        <w:t>Current Fee</w:t>
      </w:r>
      <w:r w:rsidRPr="003948BA">
        <w:rPr>
          <w:b/>
          <w:spacing w:val="-2"/>
        </w:rPr>
        <w:t xml:space="preserve"> </w:t>
      </w:r>
      <w:r w:rsidRPr="003948BA">
        <w:rPr>
          <w:b/>
        </w:rPr>
        <w:t>Structure:</w:t>
      </w:r>
    </w:p>
    <w:p w:rsidR="00D076EF" w:rsidRPr="003948BA" w:rsidRDefault="00AA2C24" w:rsidP="00D076EF">
      <w:pPr>
        <w:tabs>
          <w:tab w:val="left" w:pos="1640"/>
          <w:tab w:val="left" w:pos="1641"/>
        </w:tabs>
        <w:ind w:left="740"/>
        <w:rPr>
          <w:b/>
          <w:sz w:val="20"/>
        </w:rPr>
      </w:pPr>
      <w:r w:rsidRPr="003948BA">
        <w:rPr>
          <w:b/>
          <w:sz w:val="20"/>
        </w:rPr>
        <w:tab/>
      </w:r>
      <w:r w:rsidR="00D076EF" w:rsidRPr="003948BA">
        <w:rPr>
          <w:b/>
        </w:rPr>
        <w:t>For</w:t>
      </w:r>
      <w:r w:rsidR="00D076EF" w:rsidRPr="003948BA">
        <w:rPr>
          <w:b/>
          <w:sz w:val="20"/>
        </w:rPr>
        <w:t xml:space="preserve"> </w:t>
      </w:r>
      <w:r w:rsidR="00D076EF" w:rsidRPr="003948BA">
        <w:rPr>
          <w:rFonts w:eastAsia="Times New Roman"/>
          <w:b/>
          <w:bCs/>
          <w:kern w:val="32"/>
          <w:szCs w:val="32"/>
          <w:lang w:bidi="ar-SA"/>
        </w:rPr>
        <w:t xml:space="preserve">Al-Ameen Islamic Active </w:t>
      </w:r>
      <w:r w:rsidR="00493098">
        <w:rPr>
          <w:rFonts w:eastAsia="Times New Roman"/>
          <w:b/>
          <w:bCs/>
          <w:kern w:val="32"/>
          <w:szCs w:val="32"/>
          <w:lang w:bidi="ar-SA"/>
        </w:rPr>
        <w:t>Allocation</w:t>
      </w:r>
      <w:r w:rsidR="00D076EF" w:rsidRPr="003948BA">
        <w:rPr>
          <w:rFonts w:eastAsia="Times New Roman"/>
          <w:b/>
          <w:bCs/>
          <w:kern w:val="32"/>
          <w:szCs w:val="32"/>
          <w:lang w:bidi="ar-SA"/>
        </w:rPr>
        <w:t xml:space="preserve"> Plan-</w:t>
      </w:r>
      <w:r w:rsidR="00493098">
        <w:rPr>
          <w:rFonts w:eastAsia="Times New Roman"/>
          <w:b/>
          <w:bCs/>
          <w:kern w:val="32"/>
          <w:szCs w:val="32"/>
          <w:lang w:bidi="ar-SA"/>
        </w:rPr>
        <w:t>XI</w:t>
      </w:r>
      <w:r w:rsidR="00FB0549">
        <w:rPr>
          <w:rFonts w:eastAsia="Times New Roman"/>
          <w:b/>
          <w:bCs/>
          <w:kern w:val="32"/>
          <w:szCs w:val="32"/>
          <w:lang w:bidi="ar-SA"/>
        </w:rPr>
        <w:t>V</w:t>
      </w:r>
      <w:r w:rsidR="00D076EF" w:rsidRPr="003948BA">
        <w:rPr>
          <w:rFonts w:eastAsia="Times New Roman"/>
          <w:b/>
          <w:bCs/>
          <w:kern w:val="32"/>
          <w:szCs w:val="32"/>
          <w:lang w:bidi="ar-SA"/>
        </w:rPr>
        <w:t xml:space="preserve"> (</w:t>
      </w:r>
      <w:proofErr w:type="spellStart"/>
      <w:r w:rsidR="00493098" w:rsidRPr="003948BA">
        <w:rPr>
          <w:rFonts w:eastAsia="Times New Roman"/>
          <w:b/>
          <w:bCs/>
          <w:kern w:val="32"/>
          <w:szCs w:val="32"/>
          <w:lang w:bidi="ar-SA"/>
        </w:rPr>
        <w:t>AIA</w:t>
      </w:r>
      <w:r w:rsidR="00493098">
        <w:rPr>
          <w:rFonts w:eastAsia="Times New Roman"/>
          <w:b/>
          <w:bCs/>
          <w:kern w:val="32"/>
          <w:szCs w:val="32"/>
          <w:lang w:bidi="ar-SA"/>
        </w:rPr>
        <w:t>ctA</w:t>
      </w:r>
      <w:r w:rsidR="00493098" w:rsidRPr="003948BA">
        <w:rPr>
          <w:rFonts w:eastAsia="Times New Roman"/>
          <w:b/>
          <w:bCs/>
          <w:kern w:val="32"/>
          <w:szCs w:val="32"/>
          <w:lang w:bidi="ar-SA"/>
        </w:rPr>
        <w:t>P</w:t>
      </w:r>
      <w:proofErr w:type="spellEnd"/>
      <w:r w:rsidR="00D076EF" w:rsidRPr="003948BA">
        <w:rPr>
          <w:rFonts w:eastAsia="Times New Roman"/>
          <w:b/>
          <w:bCs/>
          <w:kern w:val="32"/>
          <w:szCs w:val="32"/>
          <w:lang w:bidi="ar-SA"/>
        </w:rPr>
        <w:t>-</w:t>
      </w:r>
      <w:r w:rsidR="00493098">
        <w:rPr>
          <w:rFonts w:eastAsia="Times New Roman"/>
          <w:b/>
          <w:bCs/>
          <w:kern w:val="32"/>
          <w:szCs w:val="32"/>
          <w:lang w:bidi="ar-SA"/>
        </w:rPr>
        <w:t>XIV</w:t>
      </w:r>
      <w:r w:rsidR="00D076EF" w:rsidRPr="003948BA">
        <w:rPr>
          <w:rFonts w:eastAsia="Times New Roman"/>
          <w:b/>
          <w:bCs/>
          <w:kern w:val="32"/>
          <w:szCs w:val="32"/>
          <w:lang w:bidi="ar-SA"/>
        </w:rPr>
        <w:t>)</w:t>
      </w:r>
    </w:p>
    <w:p w:rsidR="005E5B48" w:rsidRDefault="005E5B48">
      <w:pPr>
        <w:pStyle w:val="BodyText"/>
        <w:rPr>
          <w:b/>
        </w:rPr>
      </w:pPr>
    </w:p>
    <w:p w:rsidR="00D662E2" w:rsidRDefault="00D662E2">
      <w:pPr>
        <w:pStyle w:val="BodyText"/>
        <w:rPr>
          <w:b/>
        </w:rPr>
      </w:pPr>
      <w:r>
        <w:rPr>
          <w:b/>
        </w:rPr>
        <w:tab/>
      </w:r>
    </w:p>
    <w:tbl>
      <w:tblPr>
        <w:tblW w:w="9344" w:type="dxa"/>
        <w:tblInd w:w="468" w:type="dxa"/>
        <w:tblLayout w:type="fixed"/>
        <w:tblLook w:val="04A0" w:firstRow="1" w:lastRow="0" w:firstColumn="1" w:lastColumn="0" w:noHBand="0" w:noVBand="1"/>
      </w:tblPr>
      <w:tblGrid>
        <w:gridCol w:w="1710"/>
        <w:gridCol w:w="2160"/>
        <w:gridCol w:w="2160"/>
        <w:gridCol w:w="3314"/>
      </w:tblGrid>
      <w:tr w:rsidR="00D662E2" w:rsidRPr="00207641" w:rsidTr="004F3E83">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Classes of Units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Front-End Load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Management Fee (% p.a.)*</w:t>
            </w:r>
          </w:p>
        </w:tc>
        <w:tc>
          <w:tcPr>
            <w:tcW w:w="3314" w:type="dxa"/>
            <w:tcBorders>
              <w:top w:val="single" w:sz="4" w:space="0" w:color="auto"/>
              <w:left w:val="nil"/>
              <w:bottom w:val="nil"/>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 xml:space="preserve">Contingent Load (% </w:t>
            </w:r>
            <w:proofErr w:type="spellStart"/>
            <w:r w:rsidRPr="00207641">
              <w:rPr>
                <w:rFonts w:ascii="Times New Roman" w:eastAsia="Times New Roman" w:hAnsi="Times New Roman" w:cs="Times New Roman"/>
                <w:b/>
                <w:bCs/>
                <w:color w:val="000000"/>
              </w:rPr>
              <w:t>p.a</w:t>
            </w:r>
            <w:proofErr w:type="spellEnd"/>
            <w:r w:rsidRPr="00207641">
              <w:rPr>
                <w:rFonts w:ascii="Times New Roman" w:eastAsia="Times New Roman" w:hAnsi="Times New Roman" w:cs="Times New Roman"/>
                <w:b/>
                <w:bCs/>
                <w:color w:val="000000"/>
              </w:rPr>
              <w:t>)**</w:t>
            </w:r>
          </w:p>
        </w:tc>
      </w:tr>
      <w:tr w:rsidR="00D662E2" w:rsidRPr="00207641" w:rsidTr="004F3E83">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Class “A” Units</w:t>
            </w:r>
            <w:r w:rsidRPr="00207641">
              <w:rPr>
                <w:rFonts w:ascii="Times New Roman" w:eastAsia="Times New Roman" w:hAnsi="Times New Roman" w:cs="Times New Roman"/>
                <w:b/>
                <w:bCs/>
                <w:color w:val="000000"/>
              </w:rPr>
              <w:br/>
            </w:r>
            <w:r w:rsidRPr="00207641">
              <w:rPr>
                <w:rFonts w:ascii="Times New Roman" w:eastAsia="Times New Roman" w:hAnsi="Times New Roman" w:cs="Times New Roman"/>
                <w:color w:val="000000"/>
              </w:rPr>
              <w:t>(Sale/Purchase</w:t>
            </w:r>
            <w:r w:rsidR="00493098">
              <w:rPr>
                <w:rFonts w:ascii="Times New Roman" w:eastAsia="Times New Roman" w:hAnsi="Times New Roman" w:cs="Times New Roman"/>
                <w:color w:val="000000"/>
              </w:rPr>
              <w:t>/Conversion</w:t>
            </w:r>
            <w:r w:rsidRPr="00207641">
              <w:rPr>
                <w:rFonts w:ascii="Times New Roman" w:eastAsia="Times New Roman" w:hAnsi="Times New Roman" w:cs="Times New Roman"/>
                <w:color w:val="000000"/>
              </w:rPr>
              <w:t xml:space="preserve"> Units)</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0% to 3%</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1%</w:t>
            </w:r>
          </w:p>
        </w:tc>
        <w:tc>
          <w:tcPr>
            <w:tcW w:w="3314" w:type="dxa"/>
            <w:tcBorders>
              <w:top w:val="single" w:sz="4" w:space="0" w:color="auto"/>
              <w:left w:val="nil"/>
              <w:bottom w:val="nil"/>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4% if redeemed within 1st Year</w:t>
            </w:r>
          </w:p>
        </w:tc>
      </w:tr>
      <w:tr w:rsidR="00D662E2" w:rsidRPr="00207641" w:rsidTr="004F3E83">
        <w:trPr>
          <w:trHeight w:val="300"/>
        </w:trPr>
        <w:tc>
          <w:tcPr>
            <w:tcW w:w="171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3314" w:type="dxa"/>
            <w:tcBorders>
              <w:top w:val="nil"/>
              <w:left w:val="nil"/>
              <w:bottom w:val="nil"/>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2% if redeemed within 2nd Year</w:t>
            </w:r>
          </w:p>
        </w:tc>
      </w:tr>
      <w:tr w:rsidR="00D662E2" w:rsidRPr="00207641" w:rsidTr="004F3E83">
        <w:trPr>
          <w:trHeight w:val="300"/>
        </w:trPr>
        <w:tc>
          <w:tcPr>
            <w:tcW w:w="171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3314" w:type="dxa"/>
            <w:tcBorders>
              <w:top w:val="nil"/>
              <w:left w:val="nil"/>
              <w:bottom w:val="nil"/>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0% if redeemed after 2nd Year</w:t>
            </w:r>
          </w:p>
        </w:tc>
      </w:tr>
      <w:tr w:rsidR="00D662E2" w:rsidRPr="00207641" w:rsidTr="004F3E83">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Class “B” Units</w:t>
            </w:r>
            <w:r w:rsidRPr="00207641">
              <w:rPr>
                <w:rFonts w:ascii="Times New Roman" w:eastAsia="Times New Roman" w:hAnsi="Times New Roman" w:cs="Times New Roman"/>
                <w:b/>
                <w:bCs/>
                <w:color w:val="000000"/>
              </w:rPr>
              <w:br/>
            </w:r>
            <w:r w:rsidRPr="00207641">
              <w:rPr>
                <w:rFonts w:ascii="Times New Roman" w:eastAsia="Times New Roman" w:hAnsi="Times New Roman" w:cs="Times New Roman"/>
                <w:color w:val="000000"/>
              </w:rPr>
              <w:t>(Bonus Units)</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0%</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1%</w:t>
            </w:r>
          </w:p>
        </w:tc>
        <w:tc>
          <w:tcPr>
            <w:tcW w:w="3314" w:type="dxa"/>
            <w:tcBorders>
              <w:top w:val="single" w:sz="4" w:space="0" w:color="auto"/>
              <w:left w:val="nil"/>
              <w:bottom w:val="nil"/>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p>
        </w:tc>
      </w:tr>
      <w:tr w:rsidR="00D662E2" w:rsidRPr="00207641" w:rsidTr="004F3E83">
        <w:trPr>
          <w:trHeight w:val="300"/>
        </w:trPr>
        <w:tc>
          <w:tcPr>
            <w:tcW w:w="171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3314" w:type="dxa"/>
            <w:tcBorders>
              <w:top w:val="nil"/>
              <w:left w:val="nil"/>
              <w:bottom w:val="nil"/>
              <w:right w:val="single" w:sz="4" w:space="0" w:color="auto"/>
            </w:tcBorders>
            <w:shd w:val="clear" w:color="auto" w:fill="auto"/>
            <w:noWrap/>
            <w:vAlign w:val="center"/>
            <w:hideMark/>
          </w:tcPr>
          <w:p w:rsidR="00D662E2" w:rsidRPr="00207641" w:rsidRDefault="007C4D3F" w:rsidP="004F3E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D662E2" w:rsidRPr="00207641" w:rsidTr="004F3E83">
        <w:trPr>
          <w:trHeight w:val="300"/>
        </w:trPr>
        <w:tc>
          <w:tcPr>
            <w:tcW w:w="171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3314" w:type="dxa"/>
            <w:tcBorders>
              <w:top w:val="nil"/>
              <w:left w:val="nil"/>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p>
        </w:tc>
      </w:tr>
      <w:tr w:rsidR="00D662E2" w:rsidRPr="00207641" w:rsidTr="004F3E83">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D662E2" w:rsidRPr="00207641" w:rsidRDefault="00D662E2" w:rsidP="004F3E83">
            <w:pPr>
              <w:jc w:val="center"/>
              <w:rPr>
                <w:rFonts w:ascii="Times New Roman" w:eastAsia="Times New Roman" w:hAnsi="Times New Roman" w:cs="Times New Roman"/>
                <w:b/>
                <w:bCs/>
                <w:color w:val="000000"/>
              </w:rPr>
            </w:pPr>
            <w:r w:rsidRPr="00207641">
              <w:rPr>
                <w:rFonts w:ascii="Times New Roman" w:eastAsia="Times New Roman" w:hAnsi="Times New Roman" w:cs="Times New Roman"/>
                <w:b/>
                <w:bCs/>
                <w:color w:val="000000"/>
              </w:rPr>
              <w:t>Class “C” Units</w:t>
            </w:r>
            <w:r w:rsidRPr="00207641">
              <w:rPr>
                <w:rFonts w:ascii="Times New Roman" w:eastAsia="Times New Roman" w:hAnsi="Times New Roman" w:cs="Times New Roman"/>
                <w:b/>
                <w:bCs/>
                <w:color w:val="000000"/>
              </w:rPr>
              <w:br/>
            </w:r>
            <w:r w:rsidRPr="00207641">
              <w:rPr>
                <w:rFonts w:ascii="Times New Roman" w:eastAsia="Times New Roman" w:hAnsi="Times New Roman" w:cs="Times New Roman"/>
                <w:color w:val="000000"/>
              </w:rPr>
              <w:t>(Dividend Re-Investment Units)</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0%</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r w:rsidRPr="00207641">
              <w:rPr>
                <w:rFonts w:ascii="Times New Roman" w:eastAsia="Times New Roman" w:hAnsi="Times New Roman" w:cs="Times New Roman"/>
                <w:color w:val="000000"/>
              </w:rPr>
              <w:t>1%</w:t>
            </w:r>
          </w:p>
        </w:tc>
        <w:tc>
          <w:tcPr>
            <w:tcW w:w="3314" w:type="dxa"/>
            <w:tcBorders>
              <w:top w:val="nil"/>
              <w:left w:val="nil"/>
              <w:bottom w:val="nil"/>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p>
        </w:tc>
      </w:tr>
      <w:tr w:rsidR="00D662E2" w:rsidRPr="00207641" w:rsidTr="004F3E83">
        <w:trPr>
          <w:trHeight w:val="300"/>
        </w:trPr>
        <w:tc>
          <w:tcPr>
            <w:tcW w:w="171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3314" w:type="dxa"/>
            <w:tcBorders>
              <w:top w:val="nil"/>
              <w:left w:val="nil"/>
              <w:bottom w:val="nil"/>
              <w:right w:val="single" w:sz="4" w:space="0" w:color="auto"/>
            </w:tcBorders>
            <w:shd w:val="clear" w:color="auto" w:fill="auto"/>
            <w:noWrap/>
            <w:vAlign w:val="center"/>
            <w:hideMark/>
          </w:tcPr>
          <w:p w:rsidR="00D662E2" w:rsidRPr="00207641" w:rsidRDefault="007C4D3F" w:rsidP="004F3E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NIL</w:t>
            </w:r>
          </w:p>
        </w:tc>
      </w:tr>
      <w:tr w:rsidR="00D662E2" w:rsidRPr="00207641" w:rsidTr="004F3E83">
        <w:trPr>
          <w:trHeight w:val="300"/>
        </w:trPr>
        <w:tc>
          <w:tcPr>
            <w:tcW w:w="171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b/>
                <w:bCs/>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2160" w:type="dxa"/>
            <w:vMerge/>
            <w:tcBorders>
              <w:top w:val="nil"/>
              <w:left w:val="single" w:sz="4" w:space="0" w:color="auto"/>
              <w:bottom w:val="single" w:sz="4" w:space="0" w:color="auto"/>
              <w:right w:val="single" w:sz="4" w:space="0" w:color="auto"/>
            </w:tcBorders>
            <w:vAlign w:val="center"/>
            <w:hideMark/>
          </w:tcPr>
          <w:p w:rsidR="00D662E2" w:rsidRPr="00207641" w:rsidRDefault="00D662E2" w:rsidP="004F3E83">
            <w:pPr>
              <w:rPr>
                <w:rFonts w:ascii="Times New Roman" w:eastAsia="Times New Roman" w:hAnsi="Times New Roman" w:cs="Times New Roman"/>
                <w:color w:val="000000"/>
              </w:rPr>
            </w:pPr>
          </w:p>
        </w:tc>
        <w:tc>
          <w:tcPr>
            <w:tcW w:w="3314" w:type="dxa"/>
            <w:tcBorders>
              <w:top w:val="nil"/>
              <w:left w:val="nil"/>
              <w:bottom w:val="single" w:sz="4" w:space="0" w:color="auto"/>
              <w:right w:val="single" w:sz="4" w:space="0" w:color="auto"/>
            </w:tcBorders>
            <w:shd w:val="clear" w:color="auto" w:fill="auto"/>
            <w:noWrap/>
            <w:vAlign w:val="center"/>
            <w:hideMark/>
          </w:tcPr>
          <w:p w:rsidR="00D662E2" w:rsidRPr="00207641" w:rsidRDefault="00D662E2" w:rsidP="004F3E83">
            <w:pPr>
              <w:jc w:val="center"/>
              <w:rPr>
                <w:rFonts w:ascii="Times New Roman" w:eastAsia="Times New Roman" w:hAnsi="Times New Roman" w:cs="Times New Roman"/>
                <w:color w:val="000000"/>
              </w:rPr>
            </w:pPr>
          </w:p>
        </w:tc>
      </w:tr>
    </w:tbl>
    <w:p w:rsidR="00D662E2" w:rsidRDefault="00D662E2">
      <w:pPr>
        <w:pStyle w:val="BodyText"/>
        <w:rPr>
          <w:b/>
        </w:rPr>
      </w:pPr>
    </w:p>
    <w:p w:rsidR="00D662E2" w:rsidRPr="00D662E2" w:rsidRDefault="00D662E2" w:rsidP="00D662E2">
      <w:pPr>
        <w:pStyle w:val="BodyText"/>
        <w:rPr>
          <w:b/>
        </w:rPr>
      </w:pPr>
    </w:p>
    <w:p w:rsidR="00AA2C24" w:rsidRPr="00493098" w:rsidRDefault="00AA2C24" w:rsidP="00107425">
      <w:pPr>
        <w:pStyle w:val="NoSpacing"/>
        <w:ind w:left="720"/>
        <w:jc w:val="both"/>
        <w:rPr>
          <w:rFonts w:ascii="Arial" w:hAnsi="Arial" w:cs="Arial"/>
          <w:sz w:val="22"/>
          <w:szCs w:val="22"/>
        </w:rPr>
      </w:pPr>
      <w:r w:rsidRPr="00493098">
        <w:rPr>
          <w:rFonts w:ascii="Arial" w:hAnsi="Arial" w:cs="Arial"/>
          <w:sz w:val="22"/>
          <w:szCs w:val="22"/>
        </w:rPr>
        <w:t>*No management fee shall be charged if the investment is made in the underlying Scheme of the management company</w:t>
      </w:r>
    </w:p>
    <w:p w:rsidR="003948BA" w:rsidRPr="00493098" w:rsidRDefault="003948BA" w:rsidP="00107425">
      <w:pPr>
        <w:pStyle w:val="NoSpacing"/>
        <w:ind w:left="720"/>
        <w:jc w:val="both"/>
        <w:rPr>
          <w:rFonts w:ascii="Arial" w:hAnsi="Arial" w:cs="Arial"/>
          <w:sz w:val="22"/>
          <w:szCs w:val="22"/>
        </w:rPr>
      </w:pPr>
    </w:p>
    <w:p w:rsidR="00493098" w:rsidRPr="00493098" w:rsidRDefault="00493098" w:rsidP="00107425">
      <w:pPr>
        <w:pStyle w:val="NoSpacing"/>
        <w:ind w:left="720"/>
        <w:jc w:val="both"/>
        <w:rPr>
          <w:rFonts w:ascii="Arial" w:hAnsi="Arial" w:cs="Arial"/>
          <w:sz w:val="22"/>
          <w:szCs w:val="22"/>
        </w:rPr>
      </w:pPr>
    </w:p>
    <w:p w:rsidR="00AA2C24" w:rsidRPr="00493098" w:rsidRDefault="00AA2C24" w:rsidP="00107425">
      <w:pPr>
        <w:pStyle w:val="NoSpacing"/>
        <w:ind w:left="720"/>
        <w:jc w:val="both"/>
        <w:rPr>
          <w:rFonts w:ascii="Arial" w:hAnsi="Arial" w:cs="Arial"/>
          <w:sz w:val="22"/>
          <w:szCs w:val="22"/>
        </w:rPr>
      </w:pPr>
      <w:r w:rsidRPr="00493098">
        <w:rPr>
          <w:rFonts w:ascii="Arial" w:hAnsi="Arial" w:cs="Arial"/>
          <w:sz w:val="22"/>
          <w:szCs w:val="22"/>
        </w:rPr>
        <w:t>**Contingent load will be charged at the time of redemption of units if redeemed before</w:t>
      </w:r>
      <w:r w:rsidR="004712B1" w:rsidRPr="00493098">
        <w:rPr>
          <w:rFonts w:ascii="Arial" w:hAnsi="Arial" w:cs="Arial"/>
          <w:sz w:val="22"/>
          <w:szCs w:val="22"/>
        </w:rPr>
        <w:t xml:space="preserve"> 24 months from </w:t>
      </w:r>
      <w:r w:rsidR="00C62FA1" w:rsidRPr="00493098">
        <w:rPr>
          <w:rFonts w:ascii="Arial" w:hAnsi="Arial" w:cs="Arial"/>
          <w:sz w:val="22"/>
          <w:szCs w:val="22"/>
        </w:rPr>
        <w:t>the commencement of Life of Plan</w:t>
      </w:r>
      <w:r w:rsidR="004712B1" w:rsidRPr="00493098">
        <w:rPr>
          <w:rFonts w:ascii="Arial" w:hAnsi="Arial" w:cs="Arial"/>
          <w:sz w:val="22"/>
          <w:szCs w:val="22"/>
        </w:rPr>
        <w:t>.</w:t>
      </w:r>
    </w:p>
    <w:p w:rsidR="00AA2C24" w:rsidRPr="00493098" w:rsidRDefault="00AA2C24" w:rsidP="00107425">
      <w:pPr>
        <w:pStyle w:val="NoSpacing"/>
        <w:ind w:left="720"/>
        <w:jc w:val="both"/>
        <w:rPr>
          <w:rFonts w:ascii="Arial" w:hAnsi="Arial" w:cs="Arial"/>
          <w:sz w:val="22"/>
          <w:szCs w:val="22"/>
        </w:rPr>
      </w:pPr>
    </w:p>
    <w:p w:rsidR="00AA2C24" w:rsidRPr="00493098" w:rsidRDefault="00AA2C24" w:rsidP="00107425">
      <w:pPr>
        <w:pStyle w:val="NoSpacing"/>
        <w:ind w:left="720"/>
        <w:jc w:val="both"/>
        <w:rPr>
          <w:rFonts w:ascii="Arial" w:hAnsi="Arial" w:cs="Arial"/>
          <w:sz w:val="22"/>
          <w:szCs w:val="22"/>
        </w:rPr>
      </w:pPr>
      <w:r w:rsidRPr="00493098">
        <w:rPr>
          <w:rFonts w:ascii="Arial" w:hAnsi="Arial" w:cs="Arial"/>
          <w:sz w:val="22"/>
          <w:szCs w:val="22"/>
        </w:rPr>
        <w:t>Note: 0%-1.5% Front-End load may be charged if transactions are done online or through website of the AMC as per SECP Circular No. 27 of 2017.</w:t>
      </w:r>
    </w:p>
    <w:p w:rsidR="005E5B48" w:rsidRPr="00493098" w:rsidRDefault="005E5B48">
      <w:pPr>
        <w:pStyle w:val="BodyText"/>
        <w:rPr>
          <w:rFonts w:eastAsia="Times New Roman"/>
          <w:sz w:val="24"/>
          <w:szCs w:val="24"/>
          <w:lang w:bidi="ar-SA"/>
        </w:rPr>
      </w:pPr>
    </w:p>
    <w:p w:rsidR="00107425" w:rsidRPr="00493098" w:rsidRDefault="00107425">
      <w:pPr>
        <w:rPr>
          <w:rFonts w:eastAsia="Times New Roman"/>
          <w:sz w:val="24"/>
          <w:szCs w:val="24"/>
          <w:lang w:bidi="ar-SA"/>
        </w:rPr>
      </w:pPr>
    </w:p>
    <w:p w:rsidR="005E5B48" w:rsidRPr="003948BA" w:rsidRDefault="00814043" w:rsidP="00A002A6">
      <w:pPr>
        <w:pStyle w:val="Heading2"/>
        <w:numPr>
          <w:ilvl w:val="0"/>
          <w:numId w:val="1"/>
        </w:numPr>
        <w:tabs>
          <w:tab w:val="left" w:pos="1640"/>
          <w:tab w:val="left" w:pos="1641"/>
        </w:tabs>
      </w:pPr>
      <w:r w:rsidRPr="003948BA">
        <w:t>Cut-Off</w:t>
      </w:r>
      <w:r w:rsidRPr="003948BA">
        <w:rPr>
          <w:spacing w:val="-2"/>
        </w:rPr>
        <w:t xml:space="preserve"> </w:t>
      </w:r>
      <w:r w:rsidRPr="003948BA">
        <w:t>Timing:</w:t>
      </w:r>
    </w:p>
    <w:p w:rsidR="005E5B48" w:rsidRPr="003948BA" w:rsidRDefault="005E5B48" w:rsidP="00757A89">
      <w:pPr>
        <w:pStyle w:val="NoSpacing"/>
        <w:ind w:left="720"/>
        <w:jc w:val="both"/>
        <w:rPr>
          <w:rFonts w:ascii="Arial" w:hAnsi="Arial" w:cs="Arial"/>
        </w:rPr>
      </w:pPr>
    </w:p>
    <w:p w:rsidR="005E5B48" w:rsidRPr="003948BA" w:rsidRDefault="00757A89" w:rsidP="00757A89">
      <w:pPr>
        <w:pStyle w:val="NoSpacing"/>
        <w:ind w:left="720"/>
        <w:jc w:val="both"/>
        <w:rPr>
          <w:rFonts w:ascii="Arial" w:hAnsi="Arial" w:cs="Arial"/>
        </w:rPr>
      </w:pPr>
      <w:r w:rsidRPr="003948BA">
        <w:rPr>
          <w:rFonts w:ascii="Arial" w:hAnsi="Arial" w:cs="Arial"/>
        </w:rPr>
        <w:t>i.</w:t>
      </w:r>
      <w:r w:rsidRPr="003948BA">
        <w:rPr>
          <w:rFonts w:ascii="Arial" w:hAnsi="Arial" w:cs="Arial"/>
        </w:rPr>
        <w:tab/>
      </w:r>
      <w:r w:rsidR="00814043" w:rsidRPr="003948BA">
        <w:rPr>
          <w:rFonts w:ascii="Arial" w:hAnsi="Arial" w:cs="Arial"/>
        </w:rPr>
        <w:t>Current Cut-off Timing &amp; Business Hours for dealing in Units:</w:t>
      </w:r>
    </w:p>
    <w:p w:rsidR="005E5B48" w:rsidRPr="003948BA" w:rsidRDefault="001B0465" w:rsidP="00757A89">
      <w:pPr>
        <w:pStyle w:val="NoSpacing"/>
        <w:ind w:left="720"/>
        <w:jc w:val="both"/>
        <w:rPr>
          <w:rFonts w:ascii="Arial" w:hAnsi="Arial" w:cs="Arial"/>
        </w:rPr>
      </w:pPr>
      <w:r w:rsidRPr="003948BA">
        <w:rPr>
          <w:rFonts w:ascii="Arial" w:hAnsi="Arial" w:cs="Arial"/>
        </w:rPr>
        <w:t xml:space="preserve"> </w:t>
      </w:r>
    </w:p>
    <w:p w:rsidR="005E5B48" w:rsidRPr="003948BA" w:rsidRDefault="00814043" w:rsidP="00493098">
      <w:pPr>
        <w:pStyle w:val="NoSpacing"/>
        <w:ind w:left="720" w:firstLine="720"/>
        <w:jc w:val="both"/>
        <w:rPr>
          <w:rFonts w:ascii="Arial" w:hAnsi="Arial" w:cs="Arial"/>
        </w:rPr>
      </w:pPr>
      <w:r w:rsidRPr="003948BA">
        <w:rPr>
          <w:rFonts w:ascii="Arial" w:hAnsi="Arial" w:cs="Arial"/>
        </w:rPr>
        <w:t>Every Dealing Day – 9:00 am to 4:00 p.m.</w:t>
      </w:r>
    </w:p>
    <w:p w:rsidR="005E5B48" w:rsidRPr="003948BA" w:rsidRDefault="005E5B48" w:rsidP="00757A89">
      <w:pPr>
        <w:pStyle w:val="NoSpacing"/>
        <w:ind w:left="720"/>
        <w:jc w:val="both"/>
        <w:rPr>
          <w:rFonts w:ascii="Arial" w:hAnsi="Arial" w:cs="Arial"/>
        </w:rPr>
      </w:pPr>
    </w:p>
    <w:p w:rsidR="00C62FA1" w:rsidRDefault="00757A89" w:rsidP="00493098">
      <w:pPr>
        <w:pStyle w:val="NoSpacing"/>
        <w:ind w:left="1440" w:hanging="720"/>
        <w:jc w:val="both"/>
        <w:rPr>
          <w:rFonts w:ascii="Arial" w:hAnsi="Arial" w:cs="Arial"/>
        </w:rPr>
      </w:pPr>
      <w:r w:rsidRPr="003948BA">
        <w:rPr>
          <w:rFonts w:ascii="Arial" w:hAnsi="Arial" w:cs="Arial"/>
        </w:rPr>
        <w:t>ii.</w:t>
      </w:r>
      <w:r w:rsidRPr="003948BA">
        <w:rPr>
          <w:rFonts w:ascii="Arial" w:hAnsi="Arial" w:cs="Arial"/>
        </w:rPr>
        <w:tab/>
      </w:r>
      <w:r w:rsidR="00814043" w:rsidRPr="003948BA">
        <w:rPr>
          <w:rFonts w:ascii="Arial" w:hAnsi="Arial" w:cs="Arial"/>
        </w:rPr>
        <w:t xml:space="preserve">Current Cut-off Time for dissemination and announcement of NAV for Each </w:t>
      </w:r>
    </w:p>
    <w:p w:rsidR="005E5B48" w:rsidRPr="003948BA" w:rsidRDefault="00814043" w:rsidP="00493098">
      <w:pPr>
        <w:pStyle w:val="NoSpacing"/>
        <w:ind w:left="1440"/>
        <w:jc w:val="both"/>
        <w:rPr>
          <w:rFonts w:ascii="Arial" w:hAnsi="Arial" w:cs="Arial"/>
        </w:rPr>
      </w:pPr>
      <w:r w:rsidRPr="003948BA">
        <w:rPr>
          <w:rFonts w:ascii="Arial" w:hAnsi="Arial" w:cs="Arial"/>
        </w:rPr>
        <w:t>Dealing Day: Latest by 10:30 a.m. on subsequent Dealing Day</w:t>
      </w:r>
    </w:p>
    <w:p w:rsidR="005E5B48" w:rsidRPr="003948BA" w:rsidRDefault="005E5B48" w:rsidP="00757A89">
      <w:pPr>
        <w:pStyle w:val="NoSpacing"/>
        <w:ind w:left="720"/>
        <w:jc w:val="both"/>
        <w:rPr>
          <w:rFonts w:ascii="Arial" w:hAnsi="Arial" w:cs="Arial"/>
        </w:rPr>
      </w:pPr>
    </w:p>
    <w:p w:rsidR="005E5B48" w:rsidRPr="003948BA" w:rsidRDefault="005E5B48" w:rsidP="00757A89">
      <w:pPr>
        <w:pStyle w:val="NoSpacing"/>
        <w:ind w:left="720"/>
        <w:jc w:val="both"/>
        <w:rPr>
          <w:rFonts w:ascii="Arial" w:hAnsi="Arial" w:cs="Arial"/>
        </w:rPr>
      </w:pPr>
    </w:p>
    <w:p w:rsidR="005E5B48" w:rsidRPr="003948BA" w:rsidRDefault="00814043" w:rsidP="00757A89">
      <w:pPr>
        <w:pStyle w:val="NoSpacing"/>
        <w:ind w:left="720"/>
        <w:jc w:val="both"/>
        <w:rPr>
          <w:rFonts w:ascii="Arial" w:hAnsi="Arial" w:cs="Arial"/>
        </w:rPr>
      </w:pPr>
      <w:r w:rsidRPr="003948BA">
        <w:rPr>
          <w:rFonts w:ascii="Arial" w:hAnsi="Arial" w:cs="Arial"/>
        </w:rPr>
        <w:t xml:space="preserve">**Any change in the Cut-Off Timings/Business Hours including for the month of Ramadan shall be notified to investors/Unit-Holders via the </w:t>
      </w:r>
      <w:proofErr w:type="spellStart"/>
      <w:r w:rsidRPr="003948BA">
        <w:rPr>
          <w:rFonts w:ascii="Arial" w:hAnsi="Arial" w:cs="Arial"/>
        </w:rPr>
        <w:t>Company‟s</w:t>
      </w:r>
      <w:proofErr w:type="spellEnd"/>
      <w:r w:rsidRPr="003948BA">
        <w:rPr>
          <w:rFonts w:ascii="Arial" w:hAnsi="Arial" w:cs="Arial"/>
        </w:rPr>
        <w:t xml:space="preserve"> website.</w:t>
      </w:r>
    </w:p>
    <w:p w:rsidR="005E5B48" w:rsidRPr="003948BA" w:rsidRDefault="005E5B48" w:rsidP="00757A89">
      <w:pPr>
        <w:pStyle w:val="NoSpacing"/>
        <w:ind w:left="720"/>
        <w:jc w:val="both"/>
        <w:rPr>
          <w:rFonts w:ascii="Arial" w:hAnsi="Arial" w:cs="Arial"/>
        </w:rPr>
      </w:pPr>
    </w:p>
    <w:p w:rsidR="005E5B48" w:rsidRPr="003948BA" w:rsidRDefault="00814043" w:rsidP="00757A89">
      <w:pPr>
        <w:pStyle w:val="NoSpacing"/>
        <w:ind w:left="720"/>
        <w:jc w:val="both"/>
        <w:rPr>
          <w:rFonts w:ascii="Arial" w:hAnsi="Arial" w:cs="Arial"/>
        </w:rPr>
      </w:pPr>
      <w:r w:rsidRPr="003948BA">
        <w:rPr>
          <w:rFonts w:ascii="Arial" w:hAnsi="Arial" w:cs="Arial"/>
        </w:rPr>
        <w:t>Any change in the load structure and/or management fee shall be notified after prior approval of the Commission through an addendum to this annexure and by publication in a widely circulated newspaper and/or as and how the SECP may direct.</w:t>
      </w:r>
    </w:p>
    <w:p w:rsidR="005E5B48" w:rsidRPr="003948BA" w:rsidRDefault="005E5B48" w:rsidP="00757A89">
      <w:pPr>
        <w:pStyle w:val="BodyText"/>
        <w:spacing w:line="276" w:lineRule="auto"/>
        <w:ind w:left="920" w:right="1015"/>
        <w:jc w:val="center"/>
      </w:pPr>
    </w:p>
    <w:p w:rsidR="00F22F9B" w:rsidRPr="003948BA" w:rsidRDefault="00F22F9B" w:rsidP="00757A89">
      <w:pPr>
        <w:pStyle w:val="BodyText"/>
        <w:spacing w:line="276" w:lineRule="auto"/>
        <w:ind w:left="920" w:right="1015"/>
        <w:jc w:val="center"/>
      </w:pPr>
    </w:p>
    <w:p w:rsidR="00CB53C7" w:rsidRDefault="00CB53C7" w:rsidP="00DF2332">
      <w:pPr>
        <w:tabs>
          <w:tab w:val="left" w:pos="6750"/>
        </w:tabs>
        <w:spacing w:before="94" w:line="480" w:lineRule="auto"/>
        <w:ind w:left="4352" w:right="3240"/>
        <w:jc w:val="center"/>
        <w:rPr>
          <w:b/>
        </w:rPr>
      </w:pPr>
    </w:p>
    <w:p w:rsidR="00F22F9B" w:rsidRPr="003948BA" w:rsidRDefault="00F22F9B" w:rsidP="00DF2332">
      <w:pPr>
        <w:tabs>
          <w:tab w:val="left" w:pos="6750"/>
        </w:tabs>
        <w:spacing w:before="94" w:line="480" w:lineRule="auto"/>
        <w:ind w:left="4352" w:right="3240"/>
        <w:jc w:val="center"/>
        <w:rPr>
          <w:b/>
        </w:rPr>
      </w:pPr>
      <w:r w:rsidRPr="003948BA">
        <w:rPr>
          <w:b/>
        </w:rPr>
        <w:lastRenderedPageBreak/>
        <w:t>Annexure “E”</w:t>
      </w:r>
    </w:p>
    <w:p w:rsidR="00F22F9B" w:rsidRPr="003948BA" w:rsidRDefault="00F22F9B" w:rsidP="00757A89">
      <w:pPr>
        <w:spacing w:before="94" w:line="480" w:lineRule="auto"/>
        <w:ind w:left="4352" w:right="2520" w:hanging="752"/>
        <w:jc w:val="center"/>
        <w:rPr>
          <w:b/>
        </w:rPr>
      </w:pPr>
      <w:r w:rsidRPr="003948BA">
        <w:rPr>
          <w:b/>
        </w:rPr>
        <w:t>Shariah Advisor Profile</w:t>
      </w:r>
    </w:p>
    <w:p w:rsidR="00F22F9B" w:rsidRPr="003948BA" w:rsidRDefault="00F22F9B" w:rsidP="00F22F9B">
      <w:pPr>
        <w:pStyle w:val="BodyText"/>
        <w:rPr>
          <w:b/>
        </w:rPr>
      </w:pPr>
    </w:p>
    <w:p w:rsidR="00F22F9B" w:rsidRPr="003948BA" w:rsidRDefault="00F22F9B" w:rsidP="00F22F9B">
      <w:pPr>
        <w:pStyle w:val="BodyText"/>
        <w:spacing w:before="5"/>
        <w:rPr>
          <w:b/>
          <w:sz w:val="16"/>
        </w:rPr>
      </w:pPr>
    </w:p>
    <w:p w:rsidR="00F22F9B" w:rsidRPr="003948BA" w:rsidRDefault="00F22F9B" w:rsidP="00F22F9B">
      <w:pPr>
        <w:spacing w:before="93"/>
        <w:ind w:left="920"/>
        <w:rPr>
          <w:b/>
          <w:sz w:val="20"/>
        </w:rPr>
      </w:pPr>
      <w:r w:rsidRPr="003948BA">
        <w:rPr>
          <w:b/>
          <w:sz w:val="20"/>
        </w:rPr>
        <w:t xml:space="preserve"> Muhammad Hassaan Kaleem</w:t>
      </w:r>
    </w:p>
    <w:p w:rsidR="00F22F9B" w:rsidRPr="003948BA" w:rsidRDefault="00F22F9B" w:rsidP="00F22F9B">
      <w:pPr>
        <w:pStyle w:val="BodyText"/>
        <w:spacing w:before="5"/>
        <w:rPr>
          <w:b/>
        </w:rPr>
      </w:pPr>
    </w:p>
    <w:p w:rsidR="00F22F9B" w:rsidRPr="003948BA" w:rsidRDefault="00F22F9B" w:rsidP="00DF2332">
      <w:pPr>
        <w:pStyle w:val="BodyText"/>
        <w:spacing w:line="276" w:lineRule="auto"/>
        <w:ind w:left="920" w:right="-900"/>
        <w:jc w:val="both"/>
      </w:pPr>
      <w:r w:rsidRPr="003948BA">
        <w:t xml:space="preserve">A renowned Islamic Scholar having considerable experience in advising financial institutions on Shariah related affairs, he is renowned as an expert on Takaful and is a Shariah Board Member of Pak Kuwait, Pak Qatar Family Takaful Company Limited, Shariah Consultant for Deloitte (Global Islamic Finance Team) and has served as the Shariah Advisor for Pakistan operations of </w:t>
      </w:r>
      <w:proofErr w:type="spellStart"/>
      <w:r w:rsidRPr="003948BA">
        <w:t>AlBaraka</w:t>
      </w:r>
      <w:proofErr w:type="spellEnd"/>
      <w:r w:rsidRPr="003948BA">
        <w:t xml:space="preserve"> Islamic Bank. He is also a Member of Shariah Advisory Panel of IIBI London. He has been teaching Islamic Studies and Arabic at Dar-</w:t>
      </w:r>
      <w:proofErr w:type="spellStart"/>
      <w:r w:rsidRPr="003948BA">
        <w:t>ul</w:t>
      </w:r>
      <w:proofErr w:type="spellEnd"/>
      <w:r w:rsidRPr="003948BA">
        <w:t>-</w:t>
      </w:r>
      <w:proofErr w:type="spellStart"/>
      <w:r w:rsidRPr="003948BA">
        <w:t>Uloom</w:t>
      </w:r>
      <w:proofErr w:type="spellEnd"/>
      <w:r w:rsidRPr="003948BA">
        <w:t xml:space="preserve"> Karachi and Centre of Islamic Economics, Karachi. He has strong an academic background in Islamic studies and Islamic Economics having completed </w:t>
      </w:r>
      <w:proofErr w:type="spellStart"/>
      <w:r w:rsidRPr="003948BA">
        <w:t>Takhassus</w:t>
      </w:r>
      <w:proofErr w:type="spellEnd"/>
      <w:r w:rsidRPr="003948BA">
        <w:t xml:space="preserve"> Fil </w:t>
      </w:r>
      <w:proofErr w:type="spellStart"/>
      <w:r w:rsidRPr="003948BA">
        <w:t>Ifta</w:t>
      </w:r>
      <w:proofErr w:type="spellEnd"/>
      <w:r w:rsidRPr="003948BA">
        <w:t xml:space="preserve"> and </w:t>
      </w:r>
      <w:proofErr w:type="spellStart"/>
      <w:r w:rsidRPr="003948BA">
        <w:t>Alimiyyah</w:t>
      </w:r>
      <w:proofErr w:type="spellEnd"/>
      <w:r w:rsidRPr="003948BA">
        <w:t xml:space="preserve"> from Dar-</w:t>
      </w:r>
      <w:proofErr w:type="spellStart"/>
      <w:r w:rsidRPr="003948BA">
        <w:t>ul</w:t>
      </w:r>
      <w:proofErr w:type="spellEnd"/>
      <w:r w:rsidRPr="003948BA">
        <w:t>-</w:t>
      </w:r>
      <w:proofErr w:type="spellStart"/>
      <w:r w:rsidRPr="003948BA">
        <w:t>Uloom</w:t>
      </w:r>
      <w:proofErr w:type="spellEnd"/>
      <w:r w:rsidRPr="003948BA">
        <w:t xml:space="preserve"> Karachi, a renowned Islamic Institute of Pakistan. He also serves as a permanent faculty member of Centre of Islamic Economics,</w:t>
      </w:r>
      <w:r w:rsidRPr="003948BA">
        <w:rPr>
          <w:spacing w:val="-9"/>
        </w:rPr>
        <w:t xml:space="preserve"> </w:t>
      </w:r>
      <w:r w:rsidRPr="003948BA">
        <w:t>Karachi.</w:t>
      </w:r>
    </w:p>
    <w:p w:rsidR="00F22F9B" w:rsidRPr="003948BA" w:rsidRDefault="00F22F9B" w:rsidP="00F22F9B">
      <w:pPr>
        <w:pStyle w:val="BodyText"/>
        <w:spacing w:before="3"/>
        <w:rPr>
          <w:sz w:val="19"/>
        </w:rPr>
      </w:pPr>
    </w:p>
    <w:p w:rsidR="00F22F9B" w:rsidRPr="003948BA" w:rsidRDefault="00F22F9B" w:rsidP="00F22F9B">
      <w:pPr>
        <w:pStyle w:val="Heading5"/>
        <w:ind w:left="920" w:firstLine="0"/>
      </w:pPr>
      <w:r w:rsidRPr="003948BA">
        <w:t>Muhammad Najeeb Khan</w:t>
      </w:r>
    </w:p>
    <w:p w:rsidR="00F22F9B" w:rsidRPr="003948BA" w:rsidRDefault="00F22F9B" w:rsidP="00F22F9B">
      <w:pPr>
        <w:pStyle w:val="BodyText"/>
        <w:spacing w:before="8"/>
        <w:rPr>
          <w:b/>
        </w:rPr>
      </w:pPr>
    </w:p>
    <w:p w:rsidR="00FD368A" w:rsidRDefault="00F22F9B" w:rsidP="00DF2332">
      <w:pPr>
        <w:pStyle w:val="BodyText"/>
        <w:spacing w:line="276" w:lineRule="auto"/>
        <w:ind w:left="920" w:right="-810"/>
        <w:jc w:val="both"/>
      </w:pPr>
      <w:r w:rsidRPr="003948BA">
        <w:t xml:space="preserve">A recognized Islamic scholar and researcher having strong comprehension of all aspects of Islamic Law and a specialization in Islamic Jurisprudence and Islamic Finance, he is currently engaged as Shariah Advisor of Habib Metropolitan Bank, Islamic Banking operations and is principal of Hira Foundation School. He has also been on engaged by the SBP, </w:t>
      </w:r>
      <w:proofErr w:type="spellStart"/>
      <w:r w:rsidRPr="003948BA">
        <w:t>GoP</w:t>
      </w:r>
      <w:proofErr w:type="spellEnd"/>
      <w:r w:rsidRPr="003948BA">
        <w:t xml:space="preserve"> and ICAP as Shariah Consultant and is an important member of various committees. He has vast experience of teaching Islamic Law, Islamic Jurisprudence, Islamic Studies and Arabic at various institutes in Pakistan and abroad. He successfully completed his </w:t>
      </w:r>
      <w:proofErr w:type="spellStart"/>
      <w:r w:rsidRPr="003948BA">
        <w:t>Takhassus</w:t>
      </w:r>
      <w:proofErr w:type="spellEnd"/>
      <w:r w:rsidRPr="003948BA">
        <w:t xml:space="preserve"> from Dar-</w:t>
      </w:r>
      <w:proofErr w:type="spellStart"/>
      <w:r w:rsidRPr="003948BA">
        <w:t>ul</w:t>
      </w:r>
      <w:proofErr w:type="spellEnd"/>
      <w:r w:rsidRPr="003948BA">
        <w:t>-</w:t>
      </w:r>
      <w:proofErr w:type="spellStart"/>
      <w:r w:rsidRPr="003948BA">
        <w:t>Uloom</w:t>
      </w:r>
      <w:proofErr w:type="spellEnd"/>
      <w:r w:rsidRPr="003948BA">
        <w:t xml:space="preserve"> Karachi and specialization in Islamic Jurisprudence (majoring in Finance) under the supervision of Mufti </w:t>
      </w:r>
      <w:proofErr w:type="spellStart"/>
      <w:r w:rsidRPr="003948BA">
        <w:t>Taqi</w:t>
      </w:r>
      <w:proofErr w:type="spellEnd"/>
      <w:r w:rsidRPr="003948BA">
        <w:t xml:space="preserve"> </w:t>
      </w:r>
      <w:proofErr w:type="spellStart"/>
      <w:r w:rsidRPr="003948BA">
        <w:t>Usmani</w:t>
      </w:r>
      <w:proofErr w:type="spellEnd"/>
      <w:r w:rsidRPr="003948BA">
        <w:t>.</w:t>
      </w: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Default="00FD368A" w:rsidP="000B7F30">
      <w:pPr>
        <w:pStyle w:val="BodyText"/>
        <w:spacing w:line="276" w:lineRule="auto"/>
        <w:ind w:left="920" w:right="1015"/>
        <w:jc w:val="both"/>
      </w:pPr>
    </w:p>
    <w:p w:rsidR="00FD368A" w:rsidRPr="002874CA" w:rsidRDefault="00FD368A" w:rsidP="00FD368A">
      <w:pPr>
        <w:pStyle w:val="BodyText"/>
        <w:spacing w:line="276" w:lineRule="auto"/>
        <w:ind w:left="920" w:right="1015"/>
        <w:jc w:val="right"/>
      </w:pPr>
    </w:p>
    <w:sectPr w:rsidR="00FD368A" w:rsidRPr="002874CA" w:rsidSect="00757A89">
      <w:footerReference w:type="default" r:id="rId17"/>
      <w:pgSz w:w="11910" w:h="16850"/>
      <w:pgMar w:top="1280" w:right="1920" w:bottom="0" w:left="0" w:header="450" w:footer="10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26" w:rsidRDefault="00386326">
      <w:r>
        <w:separator/>
      </w:r>
    </w:p>
  </w:endnote>
  <w:endnote w:type="continuationSeparator" w:id="0">
    <w:p w:rsidR="00386326" w:rsidRDefault="0038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BNN+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28579"/>
      <w:docPartObj>
        <w:docPartGallery w:val="Page Numbers (Bottom of Page)"/>
        <w:docPartUnique/>
      </w:docPartObj>
    </w:sdtPr>
    <w:sdtEndPr>
      <w:rPr>
        <w:noProof/>
      </w:rPr>
    </w:sdtEndPr>
    <w:sdtContent>
      <w:p w:rsidR="00173787" w:rsidRDefault="00173787">
        <w:pPr>
          <w:pStyle w:val="Footer"/>
          <w:jc w:val="right"/>
        </w:pPr>
        <w:r>
          <w:fldChar w:fldCharType="begin"/>
        </w:r>
        <w:r>
          <w:instrText xml:space="preserve"> PAGE   \* MERGEFORMAT </w:instrText>
        </w:r>
        <w:r>
          <w:fldChar w:fldCharType="separate"/>
        </w:r>
        <w:r w:rsidR="007C4D3F">
          <w:rPr>
            <w:noProof/>
          </w:rPr>
          <w:t>6</w:t>
        </w:r>
        <w:r>
          <w:rPr>
            <w:noProof/>
          </w:rPr>
          <w:fldChar w:fldCharType="end"/>
        </w:r>
      </w:p>
    </w:sdtContent>
  </w:sdt>
  <w:p w:rsidR="00173787" w:rsidRDefault="00173787">
    <w:pPr>
      <w:pStyle w:val="BodyText"/>
      <w:spacing w:line="14" w:lineRule="auto"/>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76895"/>
      <w:docPartObj>
        <w:docPartGallery w:val="Page Numbers (Bottom of Page)"/>
        <w:docPartUnique/>
      </w:docPartObj>
    </w:sdtPr>
    <w:sdtEndPr>
      <w:rPr>
        <w:noProof/>
      </w:rPr>
    </w:sdtEndPr>
    <w:sdtContent>
      <w:p w:rsidR="00173787" w:rsidRDefault="00173787">
        <w:pPr>
          <w:pStyle w:val="Footer"/>
          <w:jc w:val="right"/>
        </w:pPr>
        <w:r>
          <w:fldChar w:fldCharType="begin"/>
        </w:r>
        <w:r>
          <w:instrText xml:space="preserve"> PAGE   \* MERGEFORMAT </w:instrText>
        </w:r>
        <w:r>
          <w:fldChar w:fldCharType="separate"/>
        </w:r>
        <w:r w:rsidR="007C4D3F">
          <w:rPr>
            <w:noProof/>
          </w:rPr>
          <w:t>70</w:t>
        </w:r>
        <w:r>
          <w:rPr>
            <w:noProof/>
          </w:rPr>
          <w:fldChar w:fldCharType="end"/>
        </w:r>
      </w:p>
    </w:sdtContent>
  </w:sdt>
  <w:p w:rsidR="00173787" w:rsidRDefault="00173787">
    <w:pPr>
      <w:pStyle w:val="BodyText"/>
      <w:spacing w:line="14" w:lineRule="auto"/>
      <w:rPr>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41228"/>
      <w:docPartObj>
        <w:docPartGallery w:val="Page Numbers (Bottom of Page)"/>
        <w:docPartUnique/>
      </w:docPartObj>
    </w:sdtPr>
    <w:sdtEndPr>
      <w:rPr>
        <w:noProof/>
      </w:rPr>
    </w:sdtEndPr>
    <w:sdtContent>
      <w:p w:rsidR="00173787" w:rsidRDefault="00173787">
        <w:pPr>
          <w:pStyle w:val="Footer"/>
          <w:jc w:val="right"/>
        </w:pPr>
        <w:r>
          <w:fldChar w:fldCharType="begin"/>
        </w:r>
        <w:r>
          <w:instrText xml:space="preserve"> PAGE   \* MERGEFORMAT </w:instrText>
        </w:r>
        <w:r>
          <w:fldChar w:fldCharType="separate"/>
        </w:r>
        <w:r w:rsidR="007C4D3F">
          <w:rPr>
            <w:noProof/>
          </w:rPr>
          <w:t>73</w:t>
        </w:r>
        <w:r>
          <w:rPr>
            <w:noProof/>
          </w:rPr>
          <w:fldChar w:fldCharType="end"/>
        </w:r>
      </w:p>
    </w:sdtContent>
  </w:sdt>
  <w:p w:rsidR="00173787" w:rsidRDefault="0017378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26" w:rsidRDefault="00386326">
      <w:r>
        <w:separator/>
      </w:r>
    </w:p>
  </w:footnote>
  <w:footnote w:type="continuationSeparator" w:id="0">
    <w:p w:rsidR="00386326" w:rsidRDefault="0038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7" w:rsidRPr="008F4880" w:rsidRDefault="00173787" w:rsidP="008F4880">
    <w:pPr>
      <w:pStyle w:val="Header"/>
    </w:pPr>
    <w:r>
      <w:rPr>
        <w:rFonts w:ascii="Arial" w:eastAsia="Arial" w:hAnsi="Arial" w:cs="Arial"/>
        <w:sz w:val="20"/>
        <w:szCs w:val="20"/>
        <w:lang w:bidi="en-US"/>
      </w:rPr>
      <w:ptab w:relativeTo="margin" w:alignment="left" w:leader="none"/>
    </w:r>
    <w:r w:rsidRPr="008F4880">
      <w:rPr>
        <w:rFonts w:ascii="Arial" w:eastAsia="Arial" w:hAnsi="Arial" w:cs="Arial"/>
        <w:sz w:val="20"/>
        <w:szCs w:val="20"/>
        <w:lang w:bidi="en-US"/>
      </w:rPr>
      <w:ptab w:relativeTo="margin" w:alignment="left" w:leader="none"/>
    </w:r>
    <w:r>
      <w:rPr>
        <w:rFonts w:ascii="Arial" w:eastAsia="Arial" w:hAnsi="Arial" w:cs="Arial"/>
        <w:sz w:val="20"/>
        <w:szCs w:val="20"/>
        <w:lang w:bidi="en-US"/>
      </w:rPr>
      <w:t xml:space="preserve">        </w:t>
    </w:r>
    <w:r w:rsidRPr="008F4880">
      <w:rPr>
        <w:rFonts w:ascii="Arial" w:eastAsia="Arial" w:hAnsi="Arial" w:cs="Arial"/>
        <w:sz w:val="20"/>
        <w:szCs w:val="20"/>
        <w:lang w:bidi="en-US"/>
      </w:rPr>
      <w:t>Al Ameen Islamic Financial Planning Fund-</w:t>
    </w:r>
    <w:r>
      <w:rPr>
        <w:rFonts w:ascii="Arial" w:eastAsia="Arial" w:hAnsi="Arial" w:cs="Arial"/>
        <w:sz w:val="20"/>
        <w:szCs w:val="20"/>
        <w:lang w:bidi="en-US"/>
      </w:rPr>
      <w:t>IV</w:t>
    </w:r>
    <w:r w:rsidRPr="008F4880">
      <w:rPr>
        <w:rFonts w:ascii="Arial" w:eastAsia="Arial" w:hAnsi="Arial" w:cs="Arial"/>
        <w:sz w:val="20"/>
        <w:szCs w:val="20"/>
        <w:lang w:bidi="en-US"/>
      </w:rPr>
      <w:t xml:space="preserve"> Offering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83F"/>
    <w:multiLevelType w:val="hybridMultilevel"/>
    <w:tmpl w:val="9F364A02"/>
    <w:lvl w:ilvl="0" w:tplc="B7D869F0">
      <w:start w:val="1"/>
      <w:numFmt w:val="lowerLetter"/>
      <w:lvlText w:val="%1)"/>
      <w:lvlJc w:val="left"/>
      <w:pPr>
        <w:ind w:left="1640" w:hanging="360"/>
      </w:pPr>
      <w:rPr>
        <w:rFonts w:ascii="Arial" w:eastAsia="Arial" w:hAnsi="Arial" w:cs="Arial" w:hint="default"/>
        <w:w w:val="96"/>
        <w:sz w:val="20"/>
        <w:szCs w:val="20"/>
        <w:lang w:val="en-US" w:eastAsia="en-US" w:bidi="en-US"/>
      </w:rPr>
    </w:lvl>
    <w:lvl w:ilvl="1" w:tplc="A134DDDC">
      <w:numFmt w:val="bullet"/>
      <w:lvlText w:val="•"/>
      <w:lvlJc w:val="left"/>
      <w:pPr>
        <w:ind w:left="2545" w:hanging="360"/>
      </w:pPr>
      <w:rPr>
        <w:rFonts w:hint="default"/>
        <w:lang w:val="en-US" w:eastAsia="en-US" w:bidi="en-US"/>
      </w:rPr>
    </w:lvl>
    <w:lvl w:ilvl="2" w:tplc="014E6EAC">
      <w:numFmt w:val="bullet"/>
      <w:lvlText w:val="•"/>
      <w:lvlJc w:val="left"/>
      <w:pPr>
        <w:ind w:left="3450" w:hanging="360"/>
      </w:pPr>
      <w:rPr>
        <w:rFonts w:hint="default"/>
        <w:lang w:val="en-US" w:eastAsia="en-US" w:bidi="en-US"/>
      </w:rPr>
    </w:lvl>
    <w:lvl w:ilvl="3" w:tplc="377C0B90">
      <w:numFmt w:val="bullet"/>
      <w:lvlText w:val="•"/>
      <w:lvlJc w:val="left"/>
      <w:pPr>
        <w:ind w:left="4355" w:hanging="360"/>
      </w:pPr>
      <w:rPr>
        <w:rFonts w:hint="default"/>
        <w:lang w:val="en-US" w:eastAsia="en-US" w:bidi="en-US"/>
      </w:rPr>
    </w:lvl>
    <w:lvl w:ilvl="4" w:tplc="FCB077A6">
      <w:numFmt w:val="bullet"/>
      <w:lvlText w:val="•"/>
      <w:lvlJc w:val="left"/>
      <w:pPr>
        <w:ind w:left="5260" w:hanging="360"/>
      </w:pPr>
      <w:rPr>
        <w:rFonts w:hint="default"/>
        <w:lang w:val="en-US" w:eastAsia="en-US" w:bidi="en-US"/>
      </w:rPr>
    </w:lvl>
    <w:lvl w:ilvl="5" w:tplc="AFBE87DC">
      <w:numFmt w:val="bullet"/>
      <w:lvlText w:val="•"/>
      <w:lvlJc w:val="left"/>
      <w:pPr>
        <w:ind w:left="6165" w:hanging="360"/>
      </w:pPr>
      <w:rPr>
        <w:rFonts w:hint="default"/>
        <w:lang w:val="en-US" w:eastAsia="en-US" w:bidi="en-US"/>
      </w:rPr>
    </w:lvl>
    <w:lvl w:ilvl="6" w:tplc="6AF0F2DA">
      <w:numFmt w:val="bullet"/>
      <w:lvlText w:val="•"/>
      <w:lvlJc w:val="left"/>
      <w:pPr>
        <w:ind w:left="7070" w:hanging="360"/>
      </w:pPr>
      <w:rPr>
        <w:rFonts w:hint="default"/>
        <w:lang w:val="en-US" w:eastAsia="en-US" w:bidi="en-US"/>
      </w:rPr>
    </w:lvl>
    <w:lvl w:ilvl="7" w:tplc="3B360E40">
      <w:numFmt w:val="bullet"/>
      <w:lvlText w:val="•"/>
      <w:lvlJc w:val="left"/>
      <w:pPr>
        <w:ind w:left="7975" w:hanging="360"/>
      </w:pPr>
      <w:rPr>
        <w:rFonts w:hint="default"/>
        <w:lang w:val="en-US" w:eastAsia="en-US" w:bidi="en-US"/>
      </w:rPr>
    </w:lvl>
    <w:lvl w:ilvl="8" w:tplc="01BE2E0A">
      <w:numFmt w:val="bullet"/>
      <w:lvlText w:val="•"/>
      <w:lvlJc w:val="left"/>
      <w:pPr>
        <w:ind w:left="8880" w:hanging="360"/>
      </w:pPr>
      <w:rPr>
        <w:rFonts w:hint="default"/>
        <w:lang w:val="en-US" w:eastAsia="en-US" w:bidi="en-US"/>
      </w:rPr>
    </w:lvl>
  </w:abstractNum>
  <w:abstractNum w:abstractNumId="1">
    <w:nsid w:val="01665C03"/>
    <w:multiLevelType w:val="hybridMultilevel"/>
    <w:tmpl w:val="4AD65A8E"/>
    <w:lvl w:ilvl="0" w:tplc="7D267A4A">
      <w:start w:val="1"/>
      <w:numFmt w:val="decimal"/>
      <w:lvlText w:val="%1."/>
      <w:lvlJc w:val="left"/>
      <w:pPr>
        <w:ind w:left="1640" w:hanging="900"/>
      </w:pPr>
      <w:rPr>
        <w:rFonts w:ascii="Arial" w:eastAsia="Arial" w:hAnsi="Arial" w:cs="Arial" w:hint="default"/>
        <w:b/>
        <w:bCs/>
        <w:spacing w:val="-1"/>
        <w:w w:val="100"/>
        <w:sz w:val="22"/>
        <w:szCs w:val="22"/>
        <w:lang w:val="en-US" w:eastAsia="en-US" w:bidi="en-US"/>
      </w:rPr>
    </w:lvl>
    <w:lvl w:ilvl="1" w:tplc="03BCB2DE">
      <w:numFmt w:val="bullet"/>
      <w:lvlText w:val=""/>
      <w:lvlJc w:val="left"/>
      <w:pPr>
        <w:ind w:left="1640" w:hanging="360"/>
      </w:pPr>
      <w:rPr>
        <w:rFonts w:ascii="Symbol" w:eastAsia="Symbol" w:hAnsi="Symbol" w:cs="Symbol" w:hint="default"/>
        <w:w w:val="99"/>
        <w:sz w:val="20"/>
        <w:szCs w:val="20"/>
        <w:lang w:val="en-US" w:eastAsia="en-US" w:bidi="en-US"/>
      </w:rPr>
    </w:lvl>
    <w:lvl w:ilvl="2" w:tplc="988A82C4">
      <w:numFmt w:val="bullet"/>
      <w:lvlText w:val="•"/>
      <w:lvlJc w:val="left"/>
      <w:pPr>
        <w:ind w:left="3450" w:hanging="360"/>
      </w:pPr>
      <w:rPr>
        <w:rFonts w:hint="default"/>
        <w:lang w:val="en-US" w:eastAsia="en-US" w:bidi="en-US"/>
      </w:rPr>
    </w:lvl>
    <w:lvl w:ilvl="3" w:tplc="0C44E1CA">
      <w:numFmt w:val="bullet"/>
      <w:lvlText w:val="•"/>
      <w:lvlJc w:val="left"/>
      <w:pPr>
        <w:ind w:left="4355" w:hanging="360"/>
      </w:pPr>
      <w:rPr>
        <w:rFonts w:hint="default"/>
        <w:lang w:val="en-US" w:eastAsia="en-US" w:bidi="en-US"/>
      </w:rPr>
    </w:lvl>
    <w:lvl w:ilvl="4" w:tplc="96689C8C">
      <w:numFmt w:val="bullet"/>
      <w:lvlText w:val="•"/>
      <w:lvlJc w:val="left"/>
      <w:pPr>
        <w:ind w:left="5260" w:hanging="360"/>
      </w:pPr>
      <w:rPr>
        <w:rFonts w:hint="default"/>
        <w:lang w:val="en-US" w:eastAsia="en-US" w:bidi="en-US"/>
      </w:rPr>
    </w:lvl>
    <w:lvl w:ilvl="5" w:tplc="1D3C02C0">
      <w:numFmt w:val="bullet"/>
      <w:lvlText w:val="•"/>
      <w:lvlJc w:val="left"/>
      <w:pPr>
        <w:ind w:left="6165" w:hanging="360"/>
      </w:pPr>
      <w:rPr>
        <w:rFonts w:hint="default"/>
        <w:lang w:val="en-US" w:eastAsia="en-US" w:bidi="en-US"/>
      </w:rPr>
    </w:lvl>
    <w:lvl w:ilvl="6" w:tplc="D4C4E956">
      <w:numFmt w:val="bullet"/>
      <w:lvlText w:val="•"/>
      <w:lvlJc w:val="left"/>
      <w:pPr>
        <w:ind w:left="7070" w:hanging="360"/>
      </w:pPr>
      <w:rPr>
        <w:rFonts w:hint="default"/>
        <w:lang w:val="en-US" w:eastAsia="en-US" w:bidi="en-US"/>
      </w:rPr>
    </w:lvl>
    <w:lvl w:ilvl="7" w:tplc="053A025C">
      <w:numFmt w:val="bullet"/>
      <w:lvlText w:val="•"/>
      <w:lvlJc w:val="left"/>
      <w:pPr>
        <w:ind w:left="7975" w:hanging="360"/>
      </w:pPr>
      <w:rPr>
        <w:rFonts w:hint="default"/>
        <w:lang w:val="en-US" w:eastAsia="en-US" w:bidi="en-US"/>
      </w:rPr>
    </w:lvl>
    <w:lvl w:ilvl="8" w:tplc="DF0209A0">
      <w:numFmt w:val="bullet"/>
      <w:lvlText w:val="•"/>
      <w:lvlJc w:val="left"/>
      <w:pPr>
        <w:ind w:left="8880" w:hanging="360"/>
      </w:pPr>
      <w:rPr>
        <w:rFonts w:hint="default"/>
        <w:lang w:val="en-US" w:eastAsia="en-US" w:bidi="en-US"/>
      </w:rPr>
    </w:lvl>
  </w:abstractNum>
  <w:abstractNum w:abstractNumId="2">
    <w:nsid w:val="01E26E91"/>
    <w:multiLevelType w:val="multilevel"/>
    <w:tmpl w:val="F576523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2EB3346"/>
    <w:multiLevelType w:val="hybridMultilevel"/>
    <w:tmpl w:val="7AC65BC2"/>
    <w:lvl w:ilvl="0" w:tplc="B4B2A35A">
      <w:start w:val="1"/>
      <w:numFmt w:val="lowerRoman"/>
      <w:lvlText w:val="(%1)"/>
      <w:lvlJc w:val="left"/>
      <w:pPr>
        <w:ind w:left="2271" w:hanging="452"/>
      </w:pPr>
      <w:rPr>
        <w:rFonts w:ascii="Arial" w:eastAsia="Arial" w:hAnsi="Arial" w:cs="Arial" w:hint="default"/>
        <w:w w:val="96"/>
        <w:sz w:val="20"/>
        <w:szCs w:val="20"/>
        <w:lang w:val="en-US" w:eastAsia="en-US" w:bidi="en-US"/>
      </w:rPr>
    </w:lvl>
    <w:lvl w:ilvl="1" w:tplc="2E38714A">
      <w:numFmt w:val="bullet"/>
      <w:lvlText w:val="•"/>
      <w:lvlJc w:val="left"/>
      <w:pPr>
        <w:ind w:left="3121" w:hanging="452"/>
      </w:pPr>
      <w:rPr>
        <w:rFonts w:hint="default"/>
        <w:lang w:val="en-US" w:eastAsia="en-US" w:bidi="en-US"/>
      </w:rPr>
    </w:lvl>
    <w:lvl w:ilvl="2" w:tplc="9BBAAB9A">
      <w:numFmt w:val="bullet"/>
      <w:lvlText w:val="•"/>
      <w:lvlJc w:val="left"/>
      <w:pPr>
        <w:ind w:left="3962" w:hanging="452"/>
      </w:pPr>
      <w:rPr>
        <w:rFonts w:hint="default"/>
        <w:lang w:val="en-US" w:eastAsia="en-US" w:bidi="en-US"/>
      </w:rPr>
    </w:lvl>
    <w:lvl w:ilvl="3" w:tplc="A3DA934E">
      <w:numFmt w:val="bullet"/>
      <w:lvlText w:val="•"/>
      <w:lvlJc w:val="left"/>
      <w:pPr>
        <w:ind w:left="4803" w:hanging="452"/>
      </w:pPr>
      <w:rPr>
        <w:rFonts w:hint="default"/>
        <w:lang w:val="en-US" w:eastAsia="en-US" w:bidi="en-US"/>
      </w:rPr>
    </w:lvl>
    <w:lvl w:ilvl="4" w:tplc="9C5E64E0">
      <w:numFmt w:val="bullet"/>
      <w:lvlText w:val="•"/>
      <w:lvlJc w:val="left"/>
      <w:pPr>
        <w:ind w:left="5644" w:hanging="452"/>
      </w:pPr>
      <w:rPr>
        <w:rFonts w:hint="default"/>
        <w:lang w:val="en-US" w:eastAsia="en-US" w:bidi="en-US"/>
      </w:rPr>
    </w:lvl>
    <w:lvl w:ilvl="5" w:tplc="637AB8DE">
      <w:numFmt w:val="bullet"/>
      <w:lvlText w:val="•"/>
      <w:lvlJc w:val="left"/>
      <w:pPr>
        <w:ind w:left="6485" w:hanging="452"/>
      </w:pPr>
      <w:rPr>
        <w:rFonts w:hint="default"/>
        <w:lang w:val="en-US" w:eastAsia="en-US" w:bidi="en-US"/>
      </w:rPr>
    </w:lvl>
    <w:lvl w:ilvl="6" w:tplc="CB669E86">
      <w:numFmt w:val="bullet"/>
      <w:lvlText w:val="•"/>
      <w:lvlJc w:val="left"/>
      <w:pPr>
        <w:ind w:left="7326" w:hanging="452"/>
      </w:pPr>
      <w:rPr>
        <w:rFonts w:hint="default"/>
        <w:lang w:val="en-US" w:eastAsia="en-US" w:bidi="en-US"/>
      </w:rPr>
    </w:lvl>
    <w:lvl w:ilvl="7" w:tplc="F5C40BF8">
      <w:numFmt w:val="bullet"/>
      <w:lvlText w:val="•"/>
      <w:lvlJc w:val="left"/>
      <w:pPr>
        <w:ind w:left="8167" w:hanging="452"/>
      </w:pPr>
      <w:rPr>
        <w:rFonts w:hint="default"/>
        <w:lang w:val="en-US" w:eastAsia="en-US" w:bidi="en-US"/>
      </w:rPr>
    </w:lvl>
    <w:lvl w:ilvl="8" w:tplc="6CCC27FE">
      <w:numFmt w:val="bullet"/>
      <w:lvlText w:val="•"/>
      <w:lvlJc w:val="left"/>
      <w:pPr>
        <w:ind w:left="9008" w:hanging="452"/>
      </w:pPr>
      <w:rPr>
        <w:rFonts w:hint="default"/>
        <w:lang w:val="en-US" w:eastAsia="en-US" w:bidi="en-US"/>
      </w:rPr>
    </w:lvl>
  </w:abstractNum>
  <w:abstractNum w:abstractNumId="4">
    <w:nsid w:val="08E60C63"/>
    <w:multiLevelType w:val="hybridMultilevel"/>
    <w:tmpl w:val="C41ABDB0"/>
    <w:lvl w:ilvl="0" w:tplc="7A84BEBE">
      <w:start w:val="1"/>
      <w:numFmt w:val="lowerLetter"/>
      <w:lvlText w:val="%1)"/>
      <w:lvlJc w:val="left"/>
      <w:pPr>
        <w:ind w:left="2360" w:hanging="360"/>
      </w:pPr>
      <w:rPr>
        <w:rFonts w:ascii="Arial" w:eastAsia="Arial" w:hAnsi="Arial" w:cs="Arial" w:hint="default"/>
        <w:w w:val="96"/>
        <w:sz w:val="20"/>
        <w:szCs w:val="20"/>
        <w:lang w:val="en-US" w:eastAsia="en-US" w:bidi="en-US"/>
      </w:rPr>
    </w:lvl>
    <w:lvl w:ilvl="1" w:tplc="017EC112">
      <w:numFmt w:val="bullet"/>
      <w:lvlText w:val="•"/>
      <w:lvlJc w:val="left"/>
      <w:pPr>
        <w:ind w:left="3193" w:hanging="360"/>
      </w:pPr>
      <w:rPr>
        <w:rFonts w:hint="default"/>
        <w:lang w:val="en-US" w:eastAsia="en-US" w:bidi="en-US"/>
      </w:rPr>
    </w:lvl>
    <w:lvl w:ilvl="2" w:tplc="4C2E0E8C">
      <w:numFmt w:val="bullet"/>
      <w:lvlText w:val="•"/>
      <w:lvlJc w:val="left"/>
      <w:pPr>
        <w:ind w:left="4026" w:hanging="360"/>
      </w:pPr>
      <w:rPr>
        <w:rFonts w:hint="default"/>
        <w:lang w:val="en-US" w:eastAsia="en-US" w:bidi="en-US"/>
      </w:rPr>
    </w:lvl>
    <w:lvl w:ilvl="3" w:tplc="974CD4D8">
      <w:numFmt w:val="bullet"/>
      <w:lvlText w:val="•"/>
      <w:lvlJc w:val="left"/>
      <w:pPr>
        <w:ind w:left="4859" w:hanging="360"/>
      </w:pPr>
      <w:rPr>
        <w:rFonts w:hint="default"/>
        <w:lang w:val="en-US" w:eastAsia="en-US" w:bidi="en-US"/>
      </w:rPr>
    </w:lvl>
    <w:lvl w:ilvl="4" w:tplc="0EBEFB5E">
      <w:numFmt w:val="bullet"/>
      <w:lvlText w:val="•"/>
      <w:lvlJc w:val="left"/>
      <w:pPr>
        <w:ind w:left="5692" w:hanging="360"/>
      </w:pPr>
      <w:rPr>
        <w:rFonts w:hint="default"/>
        <w:lang w:val="en-US" w:eastAsia="en-US" w:bidi="en-US"/>
      </w:rPr>
    </w:lvl>
    <w:lvl w:ilvl="5" w:tplc="DA2C87A4">
      <w:numFmt w:val="bullet"/>
      <w:lvlText w:val="•"/>
      <w:lvlJc w:val="left"/>
      <w:pPr>
        <w:ind w:left="6525" w:hanging="360"/>
      </w:pPr>
      <w:rPr>
        <w:rFonts w:hint="default"/>
        <w:lang w:val="en-US" w:eastAsia="en-US" w:bidi="en-US"/>
      </w:rPr>
    </w:lvl>
    <w:lvl w:ilvl="6" w:tplc="0BF868C2">
      <w:numFmt w:val="bullet"/>
      <w:lvlText w:val="•"/>
      <w:lvlJc w:val="left"/>
      <w:pPr>
        <w:ind w:left="7358" w:hanging="360"/>
      </w:pPr>
      <w:rPr>
        <w:rFonts w:hint="default"/>
        <w:lang w:val="en-US" w:eastAsia="en-US" w:bidi="en-US"/>
      </w:rPr>
    </w:lvl>
    <w:lvl w:ilvl="7" w:tplc="3926D322">
      <w:numFmt w:val="bullet"/>
      <w:lvlText w:val="•"/>
      <w:lvlJc w:val="left"/>
      <w:pPr>
        <w:ind w:left="8191" w:hanging="360"/>
      </w:pPr>
      <w:rPr>
        <w:rFonts w:hint="default"/>
        <w:lang w:val="en-US" w:eastAsia="en-US" w:bidi="en-US"/>
      </w:rPr>
    </w:lvl>
    <w:lvl w:ilvl="8" w:tplc="45F2DB12">
      <w:numFmt w:val="bullet"/>
      <w:lvlText w:val="•"/>
      <w:lvlJc w:val="left"/>
      <w:pPr>
        <w:ind w:left="9024" w:hanging="360"/>
      </w:pPr>
      <w:rPr>
        <w:rFonts w:hint="default"/>
        <w:lang w:val="en-US" w:eastAsia="en-US" w:bidi="en-US"/>
      </w:rPr>
    </w:lvl>
  </w:abstractNum>
  <w:abstractNum w:abstractNumId="5">
    <w:nsid w:val="0A6C0957"/>
    <w:multiLevelType w:val="hybridMultilevel"/>
    <w:tmpl w:val="E89EAC68"/>
    <w:lvl w:ilvl="0" w:tplc="9856A812">
      <w:start w:val="1"/>
      <w:numFmt w:val="lowerRoman"/>
      <w:lvlText w:val="(%1)"/>
      <w:lvlJc w:val="left"/>
      <w:pPr>
        <w:ind w:left="2271" w:hanging="452"/>
      </w:pPr>
      <w:rPr>
        <w:rFonts w:ascii="Arial" w:eastAsia="Arial" w:hAnsi="Arial" w:cs="Arial" w:hint="default"/>
        <w:w w:val="96"/>
        <w:sz w:val="20"/>
        <w:szCs w:val="20"/>
        <w:lang w:val="en-US" w:eastAsia="en-US" w:bidi="en-US"/>
      </w:rPr>
    </w:lvl>
    <w:lvl w:ilvl="1" w:tplc="45F414B4">
      <w:numFmt w:val="bullet"/>
      <w:lvlText w:val="•"/>
      <w:lvlJc w:val="left"/>
      <w:pPr>
        <w:ind w:left="3121" w:hanging="452"/>
      </w:pPr>
      <w:rPr>
        <w:rFonts w:hint="default"/>
        <w:lang w:val="en-US" w:eastAsia="en-US" w:bidi="en-US"/>
      </w:rPr>
    </w:lvl>
    <w:lvl w:ilvl="2" w:tplc="B66E3312">
      <w:numFmt w:val="bullet"/>
      <w:lvlText w:val="•"/>
      <w:lvlJc w:val="left"/>
      <w:pPr>
        <w:ind w:left="3962" w:hanging="452"/>
      </w:pPr>
      <w:rPr>
        <w:rFonts w:hint="default"/>
        <w:lang w:val="en-US" w:eastAsia="en-US" w:bidi="en-US"/>
      </w:rPr>
    </w:lvl>
    <w:lvl w:ilvl="3" w:tplc="873EF86A">
      <w:numFmt w:val="bullet"/>
      <w:lvlText w:val="•"/>
      <w:lvlJc w:val="left"/>
      <w:pPr>
        <w:ind w:left="4803" w:hanging="452"/>
      </w:pPr>
      <w:rPr>
        <w:rFonts w:hint="default"/>
        <w:lang w:val="en-US" w:eastAsia="en-US" w:bidi="en-US"/>
      </w:rPr>
    </w:lvl>
    <w:lvl w:ilvl="4" w:tplc="C4F21AA8">
      <w:numFmt w:val="bullet"/>
      <w:lvlText w:val="•"/>
      <w:lvlJc w:val="left"/>
      <w:pPr>
        <w:ind w:left="5644" w:hanging="452"/>
      </w:pPr>
      <w:rPr>
        <w:rFonts w:hint="default"/>
        <w:lang w:val="en-US" w:eastAsia="en-US" w:bidi="en-US"/>
      </w:rPr>
    </w:lvl>
    <w:lvl w:ilvl="5" w:tplc="F75AD95C">
      <w:numFmt w:val="bullet"/>
      <w:lvlText w:val="•"/>
      <w:lvlJc w:val="left"/>
      <w:pPr>
        <w:ind w:left="6485" w:hanging="452"/>
      </w:pPr>
      <w:rPr>
        <w:rFonts w:hint="default"/>
        <w:lang w:val="en-US" w:eastAsia="en-US" w:bidi="en-US"/>
      </w:rPr>
    </w:lvl>
    <w:lvl w:ilvl="6" w:tplc="313E9C2A">
      <w:numFmt w:val="bullet"/>
      <w:lvlText w:val="•"/>
      <w:lvlJc w:val="left"/>
      <w:pPr>
        <w:ind w:left="7326" w:hanging="452"/>
      </w:pPr>
      <w:rPr>
        <w:rFonts w:hint="default"/>
        <w:lang w:val="en-US" w:eastAsia="en-US" w:bidi="en-US"/>
      </w:rPr>
    </w:lvl>
    <w:lvl w:ilvl="7" w:tplc="8C04FC4C">
      <w:numFmt w:val="bullet"/>
      <w:lvlText w:val="•"/>
      <w:lvlJc w:val="left"/>
      <w:pPr>
        <w:ind w:left="8167" w:hanging="452"/>
      </w:pPr>
      <w:rPr>
        <w:rFonts w:hint="default"/>
        <w:lang w:val="en-US" w:eastAsia="en-US" w:bidi="en-US"/>
      </w:rPr>
    </w:lvl>
    <w:lvl w:ilvl="8" w:tplc="868AE0B6">
      <w:numFmt w:val="bullet"/>
      <w:lvlText w:val="•"/>
      <w:lvlJc w:val="left"/>
      <w:pPr>
        <w:ind w:left="9008" w:hanging="452"/>
      </w:pPr>
      <w:rPr>
        <w:rFonts w:hint="default"/>
        <w:lang w:val="en-US" w:eastAsia="en-US" w:bidi="en-US"/>
      </w:rPr>
    </w:lvl>
  </w:abstractNum>
  <w:abstractNum w:abstractNumId="6">
    <w:nsid w:val="0A754C36"/>
    <w:multiLevelType w:val="hybridMultilevel"/>
    <w:tmpl w:val="E1E6EEF0"/>
    <w:lvl w:ilvl="0" w:tplc="23F4B0D6">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8826B366">
      <w:numFmt w:val="bullet"/>
      <w:lvlText w:val="•"/>
      <w:lvlJc w:val="left"/>
      <w:pPr>
        <w:ind w:left="2869" w:hanging="540"/>
      </w:pPr>
      <w:rPr>
        <w:rFonts w:hint="default"/>
        <w:lang w:val="en-US" w:eastAsia="en-US" w:bidi="en-US"/>
      </w:rPr>
    </w:lvl>
    <w:lvl w:ilvl="2" w:tplc="D264F6FA">
      <w:numFmt w:val="bullet"/>
      <w:lvlText w:val="•"/>
      <w:lvlJc w:val="left"/>
      <w:pPr>
        <w:ind w:left="3738" w:hanging="540"/>
      </w:pPr>
      <w:rPr>
        <w:rFonts w:hint="default"/>
        <w:lang w:val="en-US" w:eastAsia="en-US" w:bidi="en-US"/>
      </w:rPr>
    </w:lvl>
    <w:lvl w:ilvl="3" w:tplc="7B9801EA">
      <w:numFmt w:val="bullet"/>
      <w:lvlText w:val="•"/>
      <w:lvlJc w:val="left"/>
      <w:pPr>
        <w:ind w:left="4607" w:hanging="540"/>
      </w:pPr>
      <w:rPr>
        <w:rFonts w:hint="default"/>
        <w:lang w:val="en-US" w:eastAsia="en-US" w:bidi="en-US"/>
      </w:rPr>
    </w:lvl>
    <w:lvl w:ilvl="4" w:tplc="A4C23078">
      <w:numFmt w:val="bullet"/>
      <w:lvlText w:val="•"/>
      <w:lvlJc w:val="left"/>
      <w:pPr>
        <w:ind w:left="5476" w:hanging="540"/>
      </w:pPr>
      <w:rPr>
        <w:rFonts w:hint="default"/>
        <w:lang w:val="en-US" w:eastAsia="en-US" w:bidi="en-US"/>
      </w:rPr>
    </w:lvl>
    <w:lvl w:ilvl="5" w:tplc="CF30F27C">
      <w:numFmt w:val="bullet"/>
      <w:lvlText w:val="•"/>
      <w:lvlJc w:val="left"/>
      <w:pPr>
        <w:ind w:left="6345" w:hanging="540"/>
      </w:pPr>
      <w:rPr>
        <w:rFonts w:hint="default"/>
        <w:lang w:val="en-US" w:eastAsia="en-US" w:bidi="en-US"/>
      </w:rPr>
    </w:lvl>
    <w:lvl w:ilvl="6" w:tplc="47F4EA6E">
      <w:numFmt w:val="bullet"/>
      <w:lvlText w:val="•"/>
      <w:lvlJc w:val="left"/>
      <w:pPr>
        <w:ind w:left="7214" w:hanging="540"/>
      </w:pPr>
      <w:rPr>
        <w:rFonts w:hint="default"/>
        <w:lang w:val="en-US" w:eastAsia="en-US" w:bidi="en-US"/>
      </w:rPr>
    </w:lvl>
    <w:lvl w:ilvl="7" w:tplc="FC2CCC86">
      <w:numFmt w:val="bullet"/>
      <w:lvlText w:val="•"/>
      <w:lvlJc w:val="left"/>
      <w:pPr>
        <w:ind w:left="8083" w:hanging="540"/>
      </w:pPr>
      <w:rPr>
        <w:rFonts w:hint="default"/>
        <w:lang w:val="en-US" w:eastAsia="en-US" w:bidi="en-US"/>
      </w:rPr>
    </w:lvl>
    <w:lvl w:ilvl="8" w:tplc="EB48E5BC">
      <w:numFmt w:val="bullet"/>
      <w:lvlText w:val="•"/>
      <w:lvlJc w:val="left"/>
      <w:pPr>
        <w:ind w:left="8952" w:hanging="540"/>
      </w:pPr>
      <w:rPr>
        <w:rFonts w:hint="default"/>
        <w:lang w:val="en-US" w:eastAsia="en-US" w:bidi="en-US"/>
      </w:rPr>
    </w:lvl>
  </w:abstractNum>
  <w:abstractNum w:abstractNumId="7">
    <w:nsid w:val="0B2E1AF4"/>
    <w:multiLevelType w:val="hybridMultilevel"/>
    <w:tmpl w:val="86F62D36"/>
    <w:lvl w:ilvl="0" w:tplc="CFCA0D6C">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34F4C270">
      <w:numFmt w:val="bullet"/>
      <w:lvlText w:val="•"/>
      <w:lvlJc w:val="left"/>
      <w:pPr>
        <w:ind w:left="2869" w:hanging="540"/>
      </w:pPr>
      <w:rPr>
        <w:rFonts w:hint="default"/>
        <w:lang w:val="en-US" w:eastAsia="en-US" w:bidi="en-US"/>
      </w:rPr>
    </w:lvl>
    <w:lvl w:ilvl="2" w:tplc="E7E4B8D6">
      <w:numFmt w:val="bullet"/>
      <w:lvlText w:val="•"/>
      <w:lvlJc w:val="left"/>
      <w:pPr>
        <w:ind w:left="3738" w:hanging="540"/>
      </w:pPr>
      <w:rPr>
        <w:rFonts w:hint="default"/>
        <w:lang w:val="en-US" w:eastAsia="en-US" w:bidi="en-US"/>
      </w:rPr>
    </w:lvl>
    <w:lvl w:ilvl="3" w:tplc="9F12153A">
      <w:numFmt w:val="bullet"/>
      <w:lvlText w:val="•"/>
      <w:lvlJc w:val="left"/>
      <w:pPr>
        <w:ind w:left="4607" w:hanging="540"/>
      </w:pPr>
      <w:rPr>
        <w:rFonts w:hint="default"/>
        <w:lang w:val="en-US" w:eastAsia="en-US" w:bidi="en-US"/>
      </w:rPr>
    </w:lvl>
    <w:lvl w:ilvl="4" w:tplc="CD8291FE">
      <w:numFmt w:val="bullet"/>
      <w:lvlText w:val="•"/>
      <w:lvlJc w:val="left"/>
      <w:pPr>
        <w:ind w:left="5476" w:hanging="540"/>
      </w:pPr>
      <w:rPr>
        <w:rFonts w:hint="default"/>
        <w:lang w:val="en-US" w:eastAsia="en-US" w:bidi="en-US"/>
      </w:rPr>
    </w:lvl>
    <w:lvl w:ilvl="5" w:tplc="58D2F118">
      <w:numFmt w:val="bullet"/>
      <w:lvlText w:val="•"/>
      <w:lvlJc w:val="left"/>
      <w:pPr>
        <w:ind w:left="6345" w:hanging="540"/>
      </w:pPr>
      <w:rPr>
        <w:rFonts w:hint="default"/>
        <w:lang w:val="en-US" w:eastAsia="en-US" w:bidi="en-US"/>
      </w:rPr>
    </w:lvl>
    <w:lvl w:ilvl="6" w:tplc="EC480A94">
      <w:numFmt w:val="bullet"/>
      <w:lvlText w:val="•"/>
      <w:lvlJc w:val="left"/>
      <w:pPr>
        <w:ind w:left="7214" w:hanging="540"/>
      </w:pPr>
      <w:rPr>
        <w:rFonts w:hint="default"/>
        <w:lang w:val="en-US" w:eastAsia="en-US" w:bidi="en-US"/>
      </w:rPr>
    </w:lvl>
    <w:lvl w:ilvl="7" w:tplc="16E47BDC">
      <w:numFmt w:val="bullet"/>
      <w:lvlText w:val="•"/>
      <w:lvlJc w:val="left"/>
      <w:pPr>
        <w:ind w:left="8083" w:hanging="540"/>
      </w:pPr>
      <w:rPr>
        <w:rFonts w:hint="default"/>
        <w:lang w:val="en-US" w:eastAsia="en-US" w:bidi="en-US"/>
      </w:rPr>
    </w:lvl>
    <w:lvl w:ilvl="8" w:tplc="17F68596">
      <w:numFmt w:val="bullet"/>
      <w:lvlText w:val="•"/>
      <w:lvlJc w:val="left"/>
      <w:pPr>
        <w:ind w:left="8952" w:hanging="540"/>
      </w:pPr>
      <w:rPr>
        <w:rFonts w:hint="default"/>
        <w:lang w:val="en-US" w:eastAsia="en-US" w:bidi="en-US"/>
      </w:rPr>
    </w:lvl>
  </w:abstractNum>
  <w:abstractNum w:abstractNumId="8">
    <w:nsid w:val="0D330601"/>
    <w:multiLevelType w:val="hybridMultilevel"/>
    <w:tmpl w:val="2C3C8640"/>
    <w:lvl w:ilvl="0" w:tplc="ABF69980">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486813A2">
      <w:numFmt w:val="bullet"/>
      <w:lvlText w:val="•"/>
      <w:lvlJc w:val="left"/>
      <w:pPr>
        <w:ind w:left="2869" w:hanging="540"/>
      </w:pPr>
      <w:rPr>
        <w:rFonts w:hint="default"/>
        <w:lang w:val="en-US" w:eastAsia="en-US" w:bidi="en-US"/>
      </w:rPr>
    </w:lvl>
    <w:lvl w:ilvl="2" w:tplc="8350272C">
      <w:numFmt w:val="bullet"/>
      <w:lvlText w:val="•"/>
      <w:lvlJc w:val="left"/>
      <w:pPr>
        <w:ind w:left="3738" w:hanging="540"/>
      </w:pPr>
      <w:rPr>
        <w:rFonts w:hint="default"/>
        <w:lang w:val="en-US" w:eastAsia="en-US" w:bidi="en-US"/>
      </w:rPr>
    </w:lvl>
    <w:lvl w:ilvl="3" w:tplc="32A68120">
      <w:numFmt w:val="bullet"/>
      <w:lvlText w:val="•"/>
      <w:lvlJc w:val="left"/>
      <w:pPr>
        <w:ind w:left="4607" w:hanging="540"/>
      </w:pPr>
      <w:rPr>
        <w:rFonts w:hint="default"/>
        <w:lang w:val="en-US" w:eastAsia="en-US" w:bidi="en-US"/>
      </w:rPr>
    </w:lvl>
    <w:lvl w:ilvl="4" w:tplc="36D4D18E">
      <w:numFmt w:val="bullet"/>
      <w:lvlText w:val="•"/>
      <w:lvlJc w:val="left"/>
      <w:pPr>
        <w:ind w:left="5476" w:hanging="540"/>
      </w:pPr>
      <w:rPr>
        <w:rFonts w:hint="default"/>
        <w:lang w:val="en-US" w:eastAsia="en-US" w:bidi="en-US"/>
      </w:rPr>
    </w:lvl>
    <w:lvl w:ilvl="5" w:tplc="C45ECD5E">
      <w:numFmt w:val="bullet"/>
      <w:lvlText w:val="•"/>
      <w:lvlJc w:val="left"/>
      <w:pPr>
        <w:ind w:left="6345" w:hanging="540"/>
      </w:pPr>
      <w:rPr>
        <w:rFonts w:hint="default"/>
        <w:lang w:val="en-US" w:eastAsia="en-US" w:bidi="en-US"/>
      </w:rPr>
    </w:lvl>
    <w:lvl w:ilvl="6" w:tplc="02D635D4">
      <w:numFmt w:val="bullet"/>
      <w:lvlText w:val="•"/>
      <w:lvlJc w:val="left"/>
      <w:pPr>
        <w:ind w:left="7214" w:hanging="540"/>
      </w:pPr>
      <w:rPr>
        <w:rFonts w:hint="default"/>
        <w:lang w:val="en-US" w:eastAsia="en-US" w:bidi="en-US"/>
      </w:rPr>
    </w:lvl>
    <w:lvl w:ilvl="7" w:tplc="79483F38">
      <w:numFmt w:val="bullet"/>
      <w:lvlText w:val="•"/>
      <w:lvlJc w:val="left"/>
      <w:pPr>
        <w:ind w:left="8083" w:hanging="540"/>
      </w:pPr>
      <w:rPr>
        <w:rFonts w:hint="default"/>
        <w:lang w:val="en-US" w:eastAsia="en-US" w:bidi="en-US"/>
      </w:rPr>
    </w:lvl>
    <w:lvl w:ilvl="8" w:tplc="9496A702">
      <w:numFmt w:val="bullet"/>
      <w:lvlText w:val="•"/>
      <w:lvlJc w:val="left"/>
      <w:pPr>
        <w:ind w:left="8952" w:hanging="540"/>
      </w:pPr>
      <w:rPr>
        <w:rFonts w:hint="default"/>
        <w:lang w:val="en-US" w:eastAsia="en-US" w:bidi="en-US"/>
      </w:rPr>
    </w:lvl>
  </w:abstractNum>
  <w:abstractNum w:abstractNumId="9">
    <w:nsid w:val="0E2E252C"/>
    <w:multiLevelType w:val="multilevel"/>
    <w:tmpl w:val="A498C950"/>
    <w:lvl w:ilvl="0">
      <w:start w:val="4"/>
      <w:numFmt w:val="decimal"/>
      <w:lvlText w:val="%1"/>
      <w:lvlJc w:val="left"/>
      <w:pPr>
        <w:ind w:left="600" w:hanging="600"/>
      </w:pPr>
      <w:rPr>
        <w:rFonts w:hint="default"/>
      </w:rPr>
    </w:lvl>
    <w:lvl w:ilvl="1">
      <w:start w:val="4"/>
      <w:numFmt w:val="decimal"/>
      <w:lvlText w:val="%1.%2"/>
      <w:lvlJc w:val="left"/>
      <w:pPr>
        <w:ind w:left="1266" w:hanging="60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nsid w:val="0EEF1337"/>
    <w:multiLevelType w:val="hybridMultilevel"/>
    <w:tmpl w:val="A5DEAA96"/>
    <w:lvl w:ilvl="0" w:tplc="E45AF028">
      <w:numFmt w:val="bullet"/>
      <w:lvlText w:val=""/>
      <w:lvlJc w:val="left"/>
      <w:pPr>
        <w:ind w:left="2180" w:hanging="360"/>
      </w:pPr>
      <w:rPr>
        <w:rFonts w:ascii="Symbol" w:eastAsia="Symbol" w:hAnsi="Symbol" w:cs="Symbol" w:hint="default"/>
        <w:w w:val="97"/>
        <w:sz w:val="20"/>
        <w:szCs w:val="20"/>
        <w:lang w:val="en-US" w:eastAsia="en-US" w:bidi="en-US"/>
      </w:rPr>
    </w:lvl>
    <w:lvl w:ilvl="1" w:tplc="BCD8356A">
      <w:numFmt w:val="bullet"/>
      <w:lvlText w:val="•"/>
      <w:lvlJc w:val="left"/>
      <w:pPr>
        <w:ind w:left="3031" w:hanging="360"/>
      </w:pPr>
      <w:rPr>
        <w:rFonts w:hint="default"/>
        <w:lang w:val="en-US" w:eastAsia="en-US" w:bidi="en-US"/>
      </w:rPr>
    </w:lvl>
    <w:lvl w:ilvl="2" w:tplc="6C2094F6">
      <w:numFmt w:val="bullet"/>
      <w:lvlText w:val="•"/>
      <w:lvlJc w:val="left"/>
      <w:pPr>
        <w:ind w:left="3882" w:hanging="360"/>
      </w:pPr>
      <w:rPr>
        <w:rFonts w:hint="default"/>
        <w:lang w:val="en-US" w:eastAsia="en-US" w:bidi="en-US"/>
      </w:rPr>
    </w:lvl>
    <w:lvl w:ilvl="3" w:tplc="1DC8E348">
      <w:numFmt w:val="bullet"/>
      <w:lvlText w:val="•"/>
      <w:lvlJc w:val="left"/>
      <w:pPr>
        <w:ind w:left="4733" w:hanging="360"/>
      </w:pPr>
      <w:rPr>
        <w:rFonts w:hint="default"/>
        <w:lang w:val="en-US" w:eastAsia="en-US" w:bidi="en-US"/>
      </w:rPr>
    </w:lvl>
    <w:lvl w:ilvl="4" w:tplc="DB0C0C10">
      <w:numFmt w:val="bullet"/>
      <w:lvlText w:val="•"/>
      <w:lvlJc w:val="left"/>
      <w:pPr>
        <w:ind w:left="5584" w:hanging="360"/>
      </w:pPr>
      <w:rPr>
        <w:rFonts w:hint="default"/>
        <w:lang w:val="en-US" w:eastAsia="en-US" w:bidi="en-US"/>
      </w:rPr>
    </w:lvl>
    <w:lvl w:ilvl="5" w:tplc="FEF005DC">
      <w:numFmt w:val="bullet"/>
      <w:lvlText w:val="•"/>
      <w:lvlJc w:val="left"/>
      <w:pPr>
        <w:ind w:left="6435" w:hanging="360"/>
      </w:pPr>
      <w:rPr>
        <w:rFonts w:hint="default"/>
        <w:lang w:val="en-US" w:eastAsia="en-US" w:bidi="en-US"/>
      </w:rPr>
    </w:lvl>
    <w:lvl w:ilvl="6" w:tplc="3092BECE">
      <w:numFmt w:val="bullet"/>
      <w:lvlText w:val="•"/>
      <w:lvlJc w:val="left"/>
      <w:pPr>
        <w:ind w:left="7286" w:hanging="360"/>
      </w:pPr>
      <w:rPr>
        <w:rFonts w:hint="default"/>
        <w:lang w:val="en-US" w:eastAsia="en-US" w:bidi="en-US"/>
      </w:rPr>
    </w:lvl>
    <w:lvl w:ilvl="7" w:tplc="958CB9BE">
      <w:numFmt w:val="bullet"/>
      <w:lvlText w:val="•"/>
      <w:lvlJc w:val="left"/>
      <w:pPr>
        <w:ind w:left="8137" w:hanging="360"/>
      </w:pPr>
      <w:rPr>
        <w:rFonts w:hint="default"/>
        <w:lang w:val="en-US" w:eastAsia="en-US" w:bidi="en-US"/>
      </w:rPr>
    </w:lvl>
    <w:lvl w:ilvl="8" w:tplc="4E325F08">
      <w:numFmt w:val="bullet"/>
      <w:lvlText w:val="•"/>
      <w:lvlJc w:val="left"/>
      <w:pPr>
        <w:ind w:left="8988" w:hanging="360"/>
      </w:pPr>
      <w:rPr>
        <w:rFonts w:hint="default"/>
        <w:lang w:val="en-US" w:eastAsia="en-US" w:bidi="en-US"/>
      </w:rPr>
    </w:lvl>
  </w:abstractNum>
  <w:abstractNum w:abstractNumId="11">
    <w:nsid w:val="0F322851"/>
    <w:multiLevelType w:val="multilevel"/>
    <w:tmpl w:val="D0B42CE4"/>
    <w:lvl w:ilvl="0">
      <w:start w:val="3"/>
      <w:numFmt w:val="decimal"/>
      <w:lvlText w:val="%1"/>
      <w:lvlJc w:val="left"/>
      <w:pPr>
        <w:ind w:left="1640" w:hanging="540"/>
      </w:pPr>
      <w:rPr>
        <w:rFonts w:hint="default"/>
        <w:lang w:val="en-US" w:eastAsia="en-US" w:bidi="en-US"/>
      </w:rPr>
    </w:lvl>
    <w:lvl w:ilvl="1">
      <w:start w:val="9"/>
      <w:numFmt w:val="decimal"/>
      <w:lvlText w:val="%1.%2"/>
      <w:lvlJc w:val="left"/>
      <w:pPr>
        <w:ind w:left="1640" w:hanging="540"/>
      </w:pPr>
      <w:rPr>
        <w:rFonts w:hint="default"/>
        <w:lang w:val="en-US" w:eastAsia="en-US" w:bidi="en-US"/>
      </w:rPr>
    </w:lvl>
    <w:lvl w:ilvl="2">
      <w:start w:val="1"/>
      <w:numFmt w:val="decimal"/>
      <w:lvlText w:val="%1.%2.%3"/>
      <w:lvlJc w:val="left"/>
      <w:pPr>
        <w:ind w:left="1640" w:hanging="540"/>
        <w:jc w:val="right"/>
      </w:pPr>
      <w:rPr>
        <w:rFonts w:ascii="Arial" w:eastAsia="Arial" w:hAnsi="Arial" w:cs="Arial" w:hint="default"/>
        <w:b/>
        <w:bCs/>
        <w:w w:val="97"/>
        <w:sz w:val="20"/>
        <w:szCs w:val="20"/>
        <w:lang w:val="en-US" w:eastAsia="en-US" w:bidi="en-US"/>
      </w:rPr>
    </w:lvl>
    <w:lvl w:ilvl="3">
      <w:numFmt w:val="bullet"/>
      <w:lvlText w:val="•"/>
      <w:lvlJc w:val="left"/>
      <w:pPr>
        <w:ind w:left="4355" w:hanging="540"/>
      </w:pPr>
      <w:rPr>
        <w:rFonts w:hint="default"/>
        <w:lang w:val="en-US" w:eastAsia="en-US" w:bidi="en-US"/>
      </w:rPr>
    </w:lvl>
    <w:lvl w:ilvl="4">
      <w:numFmt w:val="bullet"/>
      <w:lvlText w:val="•"/>
      <w:lvlJc w:val="left"/>
      <w:pPr>
        <w:ind w:left="5260" w:hanging="540"/>
      </w:pPr>
      <w:rPr>
        <w:rFonts w:hint="default"/>
        <w:lang w:val="en-US" w:eastAsia="en-US" w:bidi="en-US"/>
      </w:rPr>
    </w:lvl>
    <w:lvl w:ilvl="5">
      <w:numFmt w:val="bullet"/>
      <w:lvlText w:val="•"/>
      <w:lvlJc w:val="left"/>
      <w:pPr>
        <w:ind w:left="6165" w:hanging="540"/>
      </w:pPr>
      <w:rPr>
        <w:rFonts w:hint="default"/>
        <w:lang w:val="en-US" w:eastAsia="en-US" w:bidi="en-US"/>
      </w:rPr>
    </w:lvl>
    <w:lvl w:ilvl="6">
      <w:numFmt w:val="bullet"/>
      <w:lvlText w:val="•"/>
      <w:lvlJc w:val="left"/>
      <w:pPr>
        <w:ind w:left="7070" w:hanging="540"/>
      </w:pPr>
      <w:rPr>
        <w:rFonts w:hint="default"/>
        <w:lang w:val="en-US" w:eastAsia="en-US" w:bidi="en-US"/>
      </w:rPr>
    </w:lvl>
    <w:lvl w:ilvl="7">
      <w:numFmt w:val="bullet"/>
      <w:lvlText w:val="•"/>
      <w:lvlJc w:val="left"/>
      <w:pPr>
        <w:ind w:left="7975" w:hanging="540"/>
      </w:pPr>
      <w:rPr>
        <w:rFonts w:hint="default"/>
        <w:lang w:val="en-US" w:eastAsia="en-US" w:bidi="en-US"/>
      </w:rPr>
    </w:lvl>
    <w:lvl w:ilvl="8">
      <w:numFmt w:val="bullet"/>
      <w:lvlText w:val="•"/>
      <w:lvlJc w:val="left"/>
      <w:pPr>
        <w:ind w:left="8880" w:hanging="540"/>
      </w:pPr>
      <w:rPr>
        <w:rFonts w:hint="default"/>
        <w:lang w:val="en-US" w:eastAsia="en-US" w:bidi="en-US"/>
      </w:rPr>
    </w:lvl>
  </w:abstractNum>
  <w:abstractNum w:abstractNumId="12">
    <w:nsid w:val="155477D8"/>
    <w:multiLevelType w:val="hybridMultilevel"/>
    <w:tmpl w:val="D7C67F54"/>
    <w:lvl w:ilvl="0" w:tplc="2CECBCA4">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999A13C0">
      <w:numFmt w:val="bullet"/>
      <w:lvlText w:val="•"/>
      <w:lvlJc w:val="left"/>
      <w:pPr>
        <w:ind w:left="2869" w:hanging="540"/>
      </w:pPr>
      <w:rPr>
        <w:rFonts w:hint="default"/>
        <w:lang w:val="en-US" w:eastAsia="en-US" w:bidi="en-US"/>
      </w:rPr>
    </w:lvl>
    <w:lvl w:ilvl="2" w:tplc="31200190">
      <w:numFmt w:val="bullet"/>
      <w:lvlText w:val="•"/>
      <w:lvlJc w:val="left"/>
      <w:pPr>
        <w:ind w:left="3738" w:hanging="540"/>
      </w:pPr>
      <w:rPr>
        <w:rFonts w:hint="default"/>
        <w:lang w:val="en-US" w:eastAsia="en-US" w:bidi="en-US"/>
      </w:rPr>
    </w:lvl>
    <w:lvl w:ilvl="3" w:tplc="38765432">
      <w:numFmt w:val="bullet"/>
      <w:lvlText w:val="•"/>
      <w:lvlJc w:val="left"/>
      <w:pPr>
        <w:ind w:left="4607" w:hanging="540"/>
      </w:pPr>
      <w:rPr>
        <w:rFonts w:hint="default"/>
        <w:lang w:val="en-US" w:eastAsia="en-US" w:bidi="en-US"/>
      </w:rPr>
    </w:lvl>
    <w:lvl w:ilvl="4" w:tplc="95BE205C">
      <w:numFmt w:val="bullet"/>
      <w:lvlText w:val="•"/>
      <w:lvlJc w:val="left"/>
      <w:pPr>
        <w:ind w:left="5476" w:hanging="540"/>
      </w:pPr>
      <w:rPr>
        <w:rFonts w:hint="default"/>
        <w:lang w:val="en-US" w:eastAsia="en-US" w:bidi="en-US"/>
      </w:rPr>
    </w:lvl>
    <w:lvl w:ilvl="5" w:tplc="CC82324E">
      <w:numFmt w:val="bullet"/>
      <w:lvlText w:val="•"/>
      <w:lvlJc w:val="left"/>
      <w:pPr>
        <w:ind w:left="6345" w:hanging="540"/>
      </w:pPr>
      <w:rPr>
        <w:rFonts w:hint="default"/>
        <w:lang w:val="en-US" w:eastAsia="en-US" w:bidi="en-US"/>
      </w:rPr>
    </w:lvl>
    <w:lvl w:ilvl="6" w:tplc="6B5C4466">
      <w:numFmt w:val="bullet"/>
      <w:lvlText w:val="•"/>
      <w:lvlJc w:val="left"/>
      <w:pPr>
        <w:ind w:left="7214" w:hanging="540"/>
      </w:pPr>
      <w:rPr>
        <w:rFonts w:hint="default"/>
        <w:lang w:val="en-US" w:eastAsia="en-US" w:bidi="en-US"/>
      </w:rPr>
    </w:lvl>
    <w:lvl w:ilvl="7" w:tplc="84AC2DF8">
      <w:numFmt w:val="bullet"/>
      <w:lvlText w:val="•"/>
      <w:lvlJc w:val="left"/>
      <w:pPr>
        <w:ind w:left="8083" w:hanging="540"/>
      </w:pPr>
      <w:rPr>
        <w:rFonts w:hint="default"/>
        <w:lang w:val="en-US" w:eastAsia="en-US" w:bidi="en-US"/>
      </w:rPr>
    </w:lvl>
    <w:lvl w:ilvl="8" w:tplc="F83CD5F0">
      <w:numFmt w:val="bullet"/>
      <w:lvlText w:val="•"/>
      <w:lvlJc w:val="left"/>
      <w:pPr>
        <w:ind w:left="8952" w:hanging="540"/>
      </w:pPr>
      <w:rPr>
        <w:rFonts w:hint="default"/>
        <w:lang w:val="en-US" w:eastAsia="en-US" w:bidi="en-US"/>
      </w:rPr>
    </w:lvl>
  </w:abstractNum>
  <w:abstractNum w:abstractNumId="13">
    <w:nsid w:val="15E36897"/>
    <w:multiLevelType w:val="hybridMultilevel"/>
    <w:tmpl w:val="68A86A4A"/>
    <w:lvl w:ilvl="0" w:tplc="2F32F764">
      <w:start w:val="1"/>
      <w:numFmt w:val="lowerRoman"/>
      <w:lvlText w:val="(%1)"/>
      <w:lvlJc w:val="left"/>
      <w:pPr>
        <w:ind w:left="2271" w:hanging="452"/>
      </w:pPr>
      <w:rPr>
        <w:rFonts w:ascii="Arial" w:eastAsia="Arial" w:hAnsi="Arial" w:cs="Arial" w:hint="default"/>
        <w:w w:val="96"/>
        <w:sz w:val="20"/>
        <w:szCs w:val="20"/>
        <w:lang w:val="en-US" w:eastAsia="en-US" w:bidi="en-US"/>
      </w:rPr>
    </w:lvl>
    <w:lvl w:ilvl="1" w:tplc="457E45B2">
      <w:numFmt w:val="bullet"/>
      <w:lvlText w:val="•"/>
      <w:lvlJc w:val="left"/>
      <w:pPr>
        <w:ind w:left="3121" w:hanging="452"/>
      </w:pPr>
      <w:rPr>
        <w:rFonts w:hint="default"/>
        <w:lang w:val="en-US" w:eastAsia="en-US" w:bidi="en-US"/>
      </w:rPr>
    </w:lvl>
    <w:lvl w:ilvl="2" w:tplc="1D9EB744">
      <w:numFmt w:val="bullet"/>
      <w:lvlText w:val="•"/>
      <w:lvlJc w:val="left"/>
      <w:pPr>
        <w:ind w:left="3962" w:hanging="452"/>
      </w:pPr>
      <w:rPr>
        <w:rFonts w:hint="default"/>
        <w:lang w:val="en-US" w:eastAsia="en-US" w:bidi="en-US"/>
      </w:rPr>
    </w:lvl>
    <w:lvl w:ilvl="3" w:tplc="26C6D928">
      <w:numFmt w:val="bullet"/>
      <w:lvlText w:val="•"/>
      <w:lvlJc w:val="left"/>
      <w:pPr>
        <w:ind w:left="4803" w:hanging="452"/>
      </w:pPr>
      <w:rPr>
        <w:rFonts w:hint="default"/>
        <w:lang w:val="en-US" w:eastAsia="en-US" w:bidi="en-US"/>
      </w:rPr>
    </w:lvl>
    <w:lvl w:ilvl="4" w:tplc="7ADCED70">
      <w:numFmt w:val="bullet"/>
      <w:lvlText w:val="•"/>
      <w:lvlJc w:val="left"/>
      <w:pPr>
        <w:ind w:left="5644" w:hanging="452"/>
      </w:pPr>
      <w:rPr>
        <w:rFonts w:hint="default"/>
        <w:lang w:val="en-US" w:eastAsia="en-US" w:bidi="en-US"/>
      </w:rPr>
    </w:lvl>
    <w:lvl w:ilvl="5" w:tplc="AB9C139A">
      <w:numFmt w:val="bullet"/>
      <w:lvlText w:val="•"/>
      <w:lvlJc w:val="left"/>
      <w:pPr>
        <w:ind w:left="6485" w:hanging="452"/>
      </w:pPr>
      <w:rPr>
        <w:rFonts w:hint="default"/>
        <w:lang w:val="en-US" w:eastAsia="en-US" w:bidi="en-US"/>
      </w:rPr>
    </w:lvl>
    <w:lvl w:ilvl="6" w:tplc="8328F6BE">
      <w:numFmt w:val="bullet"/>
      <w:lvlText w:val="•"/>
      <w:lvlJc w:val="left"/>
      <w:pPr>
        <w:ind w:left="7326" w:hanging="452"/>
      </w:pPr>
      <w:rPr>
        <w:rFonts w:hint="default"/>
        <w:lang w:val="en-US" w:eastAsia="en-US" w:bidi="en-US"/>
      </w:rPr>
    </w:lvl>
    <w:lvl w:ilvl="7" w:tplc="5E3C7FF4">
      <w:numFmt w:val="bullet"/>
      <w:lvlText w:val="•"/>
      <w:lvlJc w:val="left"/>
      <w:pPr>
        <w:ind w:left="8167" w:hanging="452"/>
      </w:pPr>
      <w:rPr>
        <w:rFonts w:hint="default"/>
        <w:lang w:val="en-US" w:eastAsia="en-US" w:bidi="en-US"/>
      </w:rPr>
    </w:lvl>
    <w:lvl w:ilvl="8" w:tplc="2AD45616">
      <w:numFmt w:val="bullet"/>
      <w:lvlText w:val="•"/>
      <w:lvlJc w:val="left"/>
      <w:pPr>
        <w:ind w:left="9008" w:hanging="452"/>
      </w:pPr>
      <w:rPr>
        <w:rFonts w:hint="default"/>
        <w:lang w:val="en-US" w:eastAsia="en-US" w:bidi="en-US"/>
      </w:rPr>
    </w:lvl>
  </w:abstractNum>
  <w:abstractNum w:abstractNumId="14">
    <w:nsid w:val="16C4189A"/>
    <w:multiLevelType w:val="multilevel"/>
    <w:tmpl w:val="86FE517C"/>
    <w:lvl w:ilvl="0">
      <w:start w:val="1"/>
      <w:numFmt w:val="decimal"/>
      <w:lvlText w:val="%1."/>
      <w:lvlJc w:val="left"/>
      <w:pPr>
        <w:ind w:left="1552" w:hanging="432"/>
        <w:jc w:val="right"/>
      </w:pPr>
      <w:rPr>
        <w:rFonts w:ascii="Arial" w:eastAsia="Arial" w:hAnsi="Arial" w:cs="Arial" w:hint="default"/>
        <w:b/>
        <w:bCs/>
        <w:w w:val="97"/>
        <w:sz w:val="20"/>
        <w:szCs w:val="20"/>
        <w:lang w:val="en-US" w:eastAsia="en-US" w:bidi="en-US"/>
      </w:rPr>
    </w:lvl>
    <w:lvl w:ilvl="1">
      <w:start w:val="1"/>
      <w:numFmt w:val="decimal"/>
      <w:lvlText w:val="%1.%2"/>
      <w:lvlJc w:val="left"/>
      <w:pPr>
        <w:ind w:left="1480" w:hanging="720"/>
      </w:pPr>
      <w:rPr>
        <w:rFonts w:hint="default"/>
        <w:b/>
        <w:bCs/>
        <w:w w:val="97"/>
        <w:lang w:val="en-US" w:eastAsia="en-US" w:bidi="en-US"/>
      </w:rPr>
    </w:lvl>
    <w:lvl w:ilvl="2">
      <w:start w:val="1"/>
      <w:numFmt w:val="decimal"/>
      <w:lvlText w:val="%1.%2.%3"/>
      <w:lvlJc w:val="left"/>
      <w:pPr>
        <w:ind w:left="1480" w:hanging="720"/>
      </w:pPr>
      <w:rPr>
        <w:rFonts w:hint="default"/>
        <w:w w:val="96"/>
        <w:lang w:val="en-US" w:eastAsia="en-US" w:bidi="en-US"/>
      </w:rPr>
    </w:lvl>
    <w:lvl w:ilvl="3">
      <w:start w:val="1"/>
      <w:numFmt w:val="upperRoman"/>
      <w:lvlText w:val="%4."/>
      <w:lvlJc w:val="left"/>
      <w:pPr>
        <w:ind w:left="2241" w:hanging="720"/>
        <w:jc w:val="right"/>
      </w:pPr>
      <w:rPr>
        <w:rFonts w:ascii="Arial" w:eastAsia="Arial" w:hAnsi="Arial" w:cs="Arial" w:hint="default"/>
        <w:spacing w:val="-1"/>
        <w:w w:val="99"/>
        <w:sz w:val="20"/>
        <w:szCs w:val="20"/>
        <w:lang w:val="en-US" w:eastAsia="en-US" w:bidi="en-US"/>
      </w:rPr>
    </w:lvl>
    <w:lvl w:ilvl="4">
      <w:numFmt w:val="bullet"/>
      <w:lvlText w:val="•"/>
      <w:lvlJc w:val="left"/>
      <w:pPr>
        <w:ind w:left="1840" w:hanging="720"/>
      </w:pPr>
      <w:rPr>
        <w:rFonts w:hint="default"/>
        <w:lang w:val="en-US" w:eastAsia="en-US" w:bidi="en-US"/>
      </w:rPr>
    </w:lvl>
    <w:lvl w:ilvl="5">
      <w:numFmt w:val="bullet"/>
      <w:lvlText w:val="•"/>
      <w:lvlJc w:val="left"/>
      <w:pPr>
        <w:ind w:left="1880" w:hanging="720"/>
      </w:pPr>
      <w:rPr>
        <w:rFonts w:hint="default"/>
        <w:lang w:val="en-US" w:eastAsia="en-US" w:bidi="en-US"/>
      </w:rPr>
    </w:lvl>
    <w:lvl w:ilvl="6">
      <w:numFmt w:val="bullet"/>
      <w:lvlText w:val="•"/>
      <w:lvlJc w:val="left"/>
      <w:pPr>
        <w:ind w:left="2100" w:hanging="720"/>
      </w:pPr>
      <w:rPr>
        <w:rFonts w:hint="default"/>
        <w:lang w:val="en-US" w:eastAsia="en-US" w:bidi="en-US"/>
      </w:rPr>
    </w:lvl>
    <w:lvl w:ilvl="7">
      <w:numFmt w:val="bullet"/>
      <w:lvlText w:val="•"/>
      <w:lvlJc w:val="left"/>
      <w:pPr>
        <w:ind w:left="2240" w:hanging="720"/>
      </w:pPr>
      <w:rPr>
        <w:rFonts w:hint="default"/>
        <w:lang w:val="en-US" w:eastAsia="en-US" w:bidi="en-US"/>
      </w:rPr>
    </w:lvl>
    <w:lvl w:ilvl="8">
      <w:numFmt w:val="bullet"/>
      <w:lvlText w:val="•"/>
      <w:lvlJc w:val="left"/>
      <w:pPr>
        <w:ind w:left="2660" w:hanging="720"/>
      </w:pPr>
      <w:rPr>
        <w:rFonts w:hint="default"/>
        <w:lang w:val="en-US" w:eastAsia="en-US" w:bidi="en-US"/>
      </w:rPr>
    </w:lvl>
  </w:abstractNum>
  <w:abstractNum w:abstractNumId="15">
    <w:nsid w:val="16F57C7F"/>
    <w:multiLevelType w:val="multilevel"/>
    <w:tmpl w:val="AE600BD4"/>
    <w:lvl w:ilvl="0">
      <w:start w:val="3"/>
      <w:numFmt w:val="decimal"/>
      <w:lvlText w:val="%1"/>
      <w:lvlJc w:val="left"/>
      <w:pPr>
        <w:ind w:left="1551" w:hanging="632"/>
      </w:pPr>
      <w:rPr>
        <w:rFonts w:hint="default"/>
        <w:lang w:val="en-US" w:eastAsia="en-US" w:bidi="en-US"/>
      </w:rPr>
    </w:lvl>
    <w:lvl w:ilvl="1">
      <w:start w:val="8"/>
      <w:numFmt w:val="decimal"/>
      <w:lvlText w:val="%1.%2"/>
      <w:lvlJc w:val="left"/>
      <w:pPr>
        <w:ind w:left="1551" w:hanging="632"/>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551" w:hanging="632"/>
      </w:pPr>
      <w:rPr>
        <w:rFonts w:hint="default"/>
        <w:w w:val="96"/>
        <w:lang w:val="en-US" w:eastAsia="en-US" w:bidi="en-US"/>
      </w:rPr>
    </w:lvl>
    <w:lvl w:ilvl="3">
      <w:numFmt w:val="bullet"/>
      <w:lvlText w:val="•"/>
      <w:lvlJc w:val="left"/>
      <w:pPr>
        <w:ind w:left="4299" w:hanging="632"/>
      </w:pPr>
      <w:rPr>
        <w:rFonts w:hint="default"/>
        <w:lang w:val="en-US" w:eastAsia="en-US" w:bidi="en-US"/>
      </w:rPr>
    </w:lvl>
    <w:lvl w:ilvl="4">
      <w:numFmt w:val="bullet"/>
      <w:lvlText w:val="•"/>
      <w:lvlJc w:val="left"/>
      <w:pPr>
        <w:ind w:left="5212" w:hanging="632"/>
      </w:pPr>
      <w:rPr>
        <w:rFonts w:hint="default"/>
        <w:lang w:val="en-US" w:eastAsia="en-US" w:bidi="en-US"/>
      </w:rPr>
    </w:lvl>
    <w:lvl w:ilvl="5">
      <w:numFmt w:val="bullet"/>
      <w:lvlText w:val="•"/>
      <w:lvlJc w:val="left"/>
      <w:pPr>
        <w:ind w:left="6125" w:hanging="632"/>
      </w:pPr>
      <w:rPr>
        <w:rFonts w:hint="default"/>
        <w:lang w:val="en-US" w:eastAsia="en-US" w:bidi="en-US"/>
      </w:rPr>
    </w:lvl>
    <w:lvl w:ilvl="6">
      <w:numFmt w:val="bullet"/>
      <w:lvlText w:val="•"/>
      <w:lvlJc w:val="left"/>
      <w:pPr>
        <w:ind w:left="7038" w:hanging="632"/>
      </w:pPr>
      <w:rPr>
        <w:rFonts w:hint="default"/>
        <w:lang w:val="en-US" w:eastAsia="en-US" w:bidi="en-US"/>
      </w:rPr>
    </w:lvl>
    <w:lvl w:ilvl="7">
      <w:numFmt w:val="bullet"/>
      <w:lvlText w:val="•"/>
      <w:lvlJc w:val="left"/>
      <w:pPr>
        <w:ind w:left="7951" w:hanging="632"/>
      </w:pPr>
      <w:rPr>
        <w:rFonts w:hint="default"/>
        <w:lang w:val="en-US" w:eastAsia="en-US" w:bidi="en-US"/>
      </w:rPr>
    </w:lvl>
    <w:lvl w:ilvl="8">
      <w:numFmt w:val="bullet"/>
      <w:lvlText w:val="•"/>
      <w:lvlJc w:val="left"/>
      <w:pPr>
        <w:ind w:left="8864" w:hanging="632"/>
      </w:pPr>
      <w:rPr>
        <w:rFonts w:hint="default"/>
        <w:lang w:val="en-US" w:eastAsia="en-US" w:bidi="en-US"/>
      </w:rPr>
    </w:lvl>
  </w:abstractNum>
  <w:abstractNum w:abstractNumId="16">
    <w:nsid w:val="17652229"/>
    <w:multiLevelType w:val="hybridMultilevel"/>
    <w:tmpl w:val="5E0A2B84"/>
    <w:lvl w:ilvl="0" w:tplc="BF721FAC">
      <w:start w:val="1"/>
      <w:numFmt w:val="lowerRoman"/>
      <w:lvlText w:val="%1."/>
      <w:lvlJc w:val="left"/>
      <w:pPr>
        <w:ind w:left="2000" w:hanging="281"/>
        <w:jc w:val="right"/>
      </w:pPr>
      <w:rPr>
        <w:rFonts w:ascii="Arial" w:eastAsia="Arial" w:hAnsi="Arial" w:cs="Arial" w:hint="default"/>
        <w:spacing w:val="-3"/>
        <w:w w:val="96"/>
        <w:sz w:val="20"/>
        <w:szCs w:val="20"/>
        <w:lang w:val="en-US" w:eastAsia="en-US" w:bidi="en-US"/>
      </w:rPr>
    </w:lvl>
    <w:lvl w:ilvl="1" w:tplc="5B460966">
      <w:numFmt w:val="bullet"/>
      <w:lvlText w:val="•"/>
      <w:lvlJc w:val="left"/>
      <w:pPr>
        <w:ind w:left="2869" w:hanging="281"/>
      </w:pPr>
      <w:rPr>
        <w:rFonts w:hint="default"/>
        <w:lang w:val="en-US" w:eastAsia="en-US" w:bidi="en-US"/>
      </w:rPr>
    </w:lvl>
    <w:lvl w:ilvl="2" w:tplc="0E483828">
      <w:numFmt w:val="bullet"/>
      <w:lvlText w:val="•"/>
      <w:lvlJc w:val="left"/>
      <w:pPr>
        <w:ind w:left="3738" w:hanging="281"/>
      </w:pPr>
      <w:rPr>
        <w:rFonts w:hint="default"/>
        <w:lang w:val="en-US" w:eastAsia="en-US" w:bidi="en-US"/>
      </w:rPr>
    </w:lvl>
    <w:lvl w:ilvl="3" w:tplc="9E687492">
      <w:numFmt w:val="bullet"/>
      <w:lvlText w:val="•"/>
      <w:lvlJc w:val="left"/>
      <w:pPr>
        <w:ind w:left="4607" w:hanging="281"/>
      </w:pPr>
      <w:rPr>
        <w:rFonts w:hint="default"/>
        <w:lang w:val="en-US" w:eastAsia="en-US" w:bidi="en-US"/>
      </w:rPr>
    </w:lvl>
    <w:lvl w:ilvl="4" w:tplc="7C38D0DA">
      <w:numFmt w:val="bullet"/>
      <w:lvlText w:val="•"/>
      <w:lvlJc w:val="left"/>
      <w:pPr>
        <w:ind w:left="5476" w:hanging="281"/>
      </w:pPr>
      <w:rPr>
        <w:rFonts w:hint="default"/>
        <w:lang w:val="en-US" w:eastAsia="en-US" w:bidi="en-US"/>
      </w:rPr>
    </w:lvl>
    <w:lvl w:ilvl="5" w:tplc="D0A4A794">
      <w:numFmt w:val="bullet"/>
      <w:lvlText w:val="•"/>
      <w:lvlJc w:val="left"/>
      <w:pPr>
        <w:ind w:left="6345" w:hanging="281"/>
      </w:pPr>
      <w:rPr>
        <w:rFonts w:hint="default"/>
        <w:lang w:val="en-US" w:eastAsia="en-US" w:bidi="en-US"/>
      </w:rPr>
    </w:lvl>
    <w:lvl w:ilvl="6" w:tplc="43B2620C">
      <w:numFmt w:val="bullet"/>
      <w:lvlText w:val="•"/>
      <w:lvlJc w:val="left"/>
      <w:pPr>
        <w:ind w:left="7214" w:hanging="281"/>
      </w:pPr>
      <w:rPr>
        <w:rFonts w:hint="default"/>
        <w:lang w:val="en-US" w:eastAsia="en-US" w:bidi="en-US"/>
      </w:rPr>
    </w:lvl>
    <w:lvl w:ilvl="7" w:tplc="F4C82A88">
      <w:numFmt w:val="bullet"/>
      <w:lvlText w:val="•"/>
      <w:lvlJc w:val="left"/>
      <w:pPr>
        <w:ind w:left="8083" w:hanging="281"/>
      </w:pPr>
      <w:rPr>
        <w:rFonts w:hint="default"/>
        <w:lang w:val="en-US" w:eastAsia="en-US" w:bidi="en-US"/>
      </w:rPr>
    </w:lvl>
    <w:lvl w:ilvl="8" w:tplc="0A524500">
      <w:numFmt w:val="bullet"/>
      <w:lvlText w:val="•"/>
      <w:lvlJc w:val="left"/>
      <w:pPr>
        <w:ind w:left="8952" w:hanging="281"/>
      </w:pPr>
      <w:rPr>
        <w:rFonts w:hint="default"/>
        <w:lang w:val="en-US" w:eastAsia="en-US" w:bidi="en-US"/>
      </w:rPr>
    </w:lvl>
  </w:abstractNum>
  <w:abstractNum w:abstractNumId="17">
    <w:nsid w:val="193B1417"/>
    <w:multiLevelType w:val="hybridMultilevel"/>
    <w:tmpl w:val="32B6D352"/>
    <w:lvl w:ilvl="0" w:tplc="6AB8B792">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93F2B24"/>
    <w:multiLevelType w:val="hybridMultilevel"/>
    <w:tmpl w:val="910AC5EC"/>
    <w:lvl w:ilvl="0" w:tplc="210044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B0A769C"/>
    <w:multiLevelType w:val="hybridMultilevel"/>
    <w:tmpl w:val="0398306C"/>
    <w:lvl w:ilvl="0" w:tplc="21AAF8DA">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510EF646">
      <w:start w:val="1"/>
      <w:numFmt w:val="lowerRoman"/>
      <w:lvlText w:val="(%2)"/>
      <w:lvlJc w:val="left"/>
      <w:pPr>
        <w:ind w:left="2722" w:hanging="449"/>
      </w:pPr>
      <w:rPr>
        <w:rFonts w:ascii="Arial" w:eastAsia="Arial" w:hAnsi="Arial" w:cs="Arial" w:hint="default"/>
        <w:w w:val="96"/>
        <w:sz w:val="20"/>
        <w:szCs w:val="20"/>
        <w:lang w:val="en-US" w:eastAsia="en-US" w:bidi="en-US"/>
      </w:rPr>
    </w:lvl>
    <w:lvl w:ilvl="2" w:tplc="6DAAA9E8">
      <w:numFmt w:val="bullet"/>
      <w:lvlText w:val="•"/>
      <w:lvlJc w:val="left"/>
      <w:pPr>
        <w:ind w:left="3605" w:hanging="449"/>
      </w:pPr>
      <w:rPr>
        <w:rFonts w:hint="default"/>
        <w:lang w:val="en-US" w:eastAsia="en-US" w:bidi="en-US"/>
      </w:rPr>
    </w:lvl>
    <w:lvl w:ilvl="3" w:tplc="A3DA5280">
      <w:numFmt w:val="bullet"/>
      <w:lvlText w:val="•"/>
      <w:lvlJc w:val="left"/>
      <w:pPr>
        <w:ind w:left="4491" w:hanging="449"/>
      </w:pPr>
      <w:rPr>
        <w:rFonts w:hint="default"/>
        <w:lang w:val="en-US" w:eastAsia="en-US" w:bidi="en-US"/>
      </w:rPr>
    </w:lvl>
    <w:lvl w:ilvl="4" w:tplc="92C074B0">
      <w:numFmt w:val="bullet"/>
      <w:lvlText w:val="•"/>
      <w:lvlJc w:val="left"/>
      <w:pPr>
        <w:ind w:left="5377" w:hanging="449"/>
      </w:pPr>
      <w:rPr>
        <w:rFonts w:hint="default"/>
        <w:lang w:val="en-US" w:eastAsia="en-US" w:bidi="en-US"/>
      </w:rPr>
    </w:lvl>
    <w:lvl w:ilvl="5" w:tplc="03BA66F2">
      <w:numFmt w:val="bullet"/>
      <w:lvlText w:val="•"/>
      <w:lvlJc w:val="left"/>
      <w:pPr>
        <w:ind w:left="6262" w:hanging="449"/>
      </w:pPr>
      <w:rPr>
        <w:rFonts w:hint="default"/>
        <w:lang w:val="en-US" w:eastAsia="en-US" w:bidi="en-US"/>
      </w:rPr>
    </w:lvl>
    <w:lvl w:ilvl="6" w:tplc="C862EAF8">
      <w:numFmt w:val="bullet"/>
      <w:lvlText w:val="•"/>
      <w:lvlJc w:val="left"/>
      <w:pPr>
        <w:ind w:left="7148" w:hanging="449"/>
      </w:pPr>
      <w:rPr>
        <w:rFonts w:hint="default"/>
        <w:lang w:val="en-US" w:eastAsia="en-US" w:bidi="en-US"/>
      </w:rPr>
    </w:lvl>
    <w:lvl w:ilvl="7" w:tplc="AF3AF2D4">
      <w:numFmt w:val="bullet"/>
      <w:lvlText w:val="•"/>
      <w:lvlJc w:val="left"/>
      <w:pPr>
        <w:ind w:left="8034" w:hanging="449"/>
      </w:pPr>
      <w:rPr>
        <w:rFonts w:hint="default"/>
        <w:lang w:val="en-US" w:eastAsia="en-US" w:bidi="en-US"/>
      </w:rPr>
    </w:lvl>
    <w:lvl w:ilvl="8" w:tplc="4B883942">
      <w:numFmt w:val="bullet"/>
      <w:lvlText w:val="•"/>
      <w:lvlJc w:val="left"/>
      <w:pPr>
        <w:ind w:left="8919" w:hanging="449"/>
      </w:pPr>
      <w:rPr>
        <w:rFonts w:hint="default"/>
        <w:lang w:val="en-US" w:eastAsia="en-US" w:bidi="en-US"/>
      </w:rPr>
    </w:lvl>
  </w:abstractNum>
  <w:abstractNum w:abstractNumId="20">
    <w:nsid w:val="1D8A5FD6"/>
    <w:multiLevelType w:val="hybridMultilevel"/>
    <w:tmpl w:val="B3207296"/>
    <w:lvl w:ilvl="0" w:tplc="571657D0">
      <w:start w:val="1"/>
      <w:numFmt w:val="lowerRoman"/>
      <w:lvlText w:val="(%1)"/>
      <w:lvlJc w:val="left"/>
      <w:pPr>
        <w:ind w:left="2271" w:hanging="452"/>
      </w:pPr>
      <w:rPr>
        <w:rFonts w:ascii="Arial" w:eastAsia="Arial" w:hAnsi="Arial" w:cs="Arial" w:hint="default"/>
        <w:w w:val="96"/>
        <w:sz w:val="20"/>
        <w:szCs w:val="20"/>
        <w:lang w:val="en-US" w:eastAsia="en-US" w:bidi="en-US"/>
      </w:rPr>
    </w:lvl>
    <w:lvl w:ilvl="1" w:tplc="5F40B52C">
      <w:numFmt w:val="bullet"/>
      <w:lvlText w:val="•"/>
      <w:lvlJc w:val="left"/>
      <w:pPr>
        <w:ind w:left="3121" w:hanging="452"/>
      </w:pPr>
      <w:rPr>
        <w:rFonts w:hint="default"/>
        <w:lang w:val="en-US" w:eastAsia="en-US" w:bidi="en-US"/>
      </w:rPr>
    </w:lvl>
    <w:lvl w:ilvl="2" w:tplc="E626BD9C">
      <w:numFmt w:val="bullet"/>
      <w:lvlText w:val="•"/>
      <w:lvlJc w:val="left"/>
      <w:pPr>
        <w:ind w:left="3962" w:hanging="452"/>
      </w:pPr>
      <w:rPr>
        <w:rFonts w:hint="default"/>
        <w:lang w:val="en-US" w:eastAsia="en-US" w:bidi="en-US"/>
      </w:rPr>
    </w:lvl>
    <w:lvl w:ilvl="3" w:tplc="A9DE2FA6">
      <w:numFmt w:val="bullet"/>
      <w:lvlText w:val="•"/>
      <w:lvlJc w:val="left"/>
      <w:pPr>
        <w:ind w:left="4803" w:hanging="452"/>
      </w:pPr>
      <w:rPr>
        <w:rFonts w:hint="default"/>
        <w:lang w:val="en-US" w:eastAsia="en-US" w:bidi="en-US"/>
      </w:rPr>
    </w:lvl>
    <w:lvl w:ilvl="4" w:tplc="405A16AA">
      <w:numFmt w:val="bullet"/>
      <w:lvlText w:val="•"/>
      <w:lvlJc w:val="left"/>
      <w:pPr>
        <w:ind w:left="5644" w:hanging="452"/>
      </w:pPr>
      <w:rPr>
        <w:rFonts w:hint="default"/>
        <w:lang w:val="en-US" w:eastAsia="en-US" w:bidi="en-US"/>
      </w:rPr>
    </w:lvl>
    <w:lvl w:ilvl="5" w:tplc="EBD25DE6">
      <w:numFmt w:val="bullet"/>
      <w:lvlText w:val="•"/>
      <w:lvlJc w:val="left"/>
      <w:pPr>
        <w:ind w:left="6485" w:hanging="452"/>
      </w:pPr>
      <w:rPr>
        <w:rFonts w:hint="default"/>
        <w:lang w:val="en-US" w:eastAsia="en-US" w:bidi="en-US"/>
      </w:rPr>
    </w:lvl>
    <w:lvl w:ilvl="6" w:tplc="BE380018">
      <w:numFmt w:val="bullet"/>
      <w:lvlText w:val="•"/>
      <w:lvlJc w:val="left"/>
      <w:pPr>
        <w:ind w:left="7326" w:hanging="452"/>
      </w:pPr>
      <w:rPr>
        <w:rFonts w:hint="default"/>
        <w:lang w:val="en-US" w:eastAsia="en-US" w:bidi="en-US"/>
      </w:rPr>
    </w:lvl>
    <w:lvl w:ilvl="7" w:tplc="0F92D0C2">
      <w:numFmt w:val="bullet"/>
      <w:lvlText w:val="•"/>
      <w:lvlJc w:val="left"/>
      <w:pPr>
        <w:ind w:left="8167" w:hanging="452"/>
      </w:pPr>
      <w:rPr>
        <w:rFonts w:hint="default"/>
        <w:lang w:val="en-US" w:eastAsia="en-US" w:bidi="en-US"/>
      </w:rPr>
    </w:lvl>
    <w:lvl w:ilvl="8" w:tplc="368E7454">
      <w:numFmt w:val="bullet"/>
      <w:lvlText w:val="•"/>
      <w:lvlJc w:val="left"/>
      <w:pPr>
        <w:ind w:left="9008" w:hanging="452"/>
      </w:pPr>
      <w:rPr>
        <w:rFonts w:hint="default"/>
        <w:lang w:val="en-US" w:eastAsia="en-US" w:bidi="en-US"/>
      </w:rPr>
    </w:lvl>
  </w:abstractNum>
  <w:abstractNum w:abstractNumId="21">
    <w:nsid w:val="1EAF6920"/>
    <w:multiLevelType w:val="hybridMultilevel"/>
    <w:tmpl w:val="78E0C2E0"/>
    <w:lvl w:ilvl="0" w:tplc="90489382">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63E84B22">
      <w:numFmt w:val="bullet"/>
      <w:lvlText w:val="•"/>
      <w:lvlJc w:val="left"/>
      <w:pPr>
        <w:ind w:left="2869" w:hanging="540"/>
      </w:pPr>
      <w:rPr>
        <w:rFonts w:hint="default"/>
        <w:lang w:val="en-US" w:eastAsia="en-US" w:bidi="en-US"/>
      </w:rPr>
    </w:lvl>
    <w:lvl w:ilvl="2" w:tplc="DF2ACA96">
      <w:numFmt w:val="bullet"/>
      <w:lvlText w:val="•"/>
      <w:lvlJc w:val="left"/>
      <w:pPr>
        <w:ind w:left="3738" w:hanging="540"/>
      </w:pPr>
      <w:rPr>
        <w:rFonts w:hint="default"/>
        <w:lang w:val="en-US" w:eastAsia="en-US" w:bidi="en-US"/>
      </w:rPr>
    </w:lvl>
    <w:lvl w:ilvl="3" w:tplc="7A00F696">
      <w:numFmt w:val="bullet"/>
      <w:lvlText w:val="•"/>
      <w:lvlJc w:val="left"/>
      <w:pPr>
        <w:ind w:left="4607" w:hanging="540"/>
      </w:pPr>
      <w:rPr>
        <w:rFonts w:hint="default"/>
        <w:lang w:val="en-US" w:eastAsia="en-US" w:bidi="en-US"/>
      </w:rPr>
    </w:lvl>
    <w:lvl w:ilvl="4" w:tplc="9CC6DBCA">
      <w:numFmt w:val="bullet"/>
      <w:lvlText w:val="•"/>
      <w:lvlJc w:val="left"/>
      <w:pPr>
        <w:ind w:left="5476" w:hanging="540"/>
      </w:pPr>
      <w:rPr>
        <w:rFonts w:hint="default"/>
        <w:lang w:val="en-US" w:eastAsia="en-US" w:bidi="en-US"/>
      </w:rPr>
    </w:lvl>
    <w:lvl w:ilvl="5" w:tplc="6878400E">
      <w:numFmt w:val="bullet"/>
      <w:lvlText w:val="•"/>
      <w:lvlJc w:val="left"/>
      <w:pPr>
        <w:ind w:left="6345" w:hanging="540"/>
      </w:pPr>
      <w:rPr>
        <w:rFonts w:hint="default"/>
        <w:lang w:val="en-US" w:eastAsia="en-US" w:bidi="en-US"/>
      </w:rPr>
    </w:lvl>
    <w:lvl w:ilvl="6" w:tplc="E9D0675A">
      <w:numFmt w:val="bullet"/>
      <w:lvlText w:val="•"/>
      <w:lvlJc w:val="left"/>
      <w:pPr>
        <w:ind w:left="7214" w:hanging="540"/>
      </w:pPr>
      <w:rPr>
        <w:rFonts w:hint="default"/>
        <w:lang w:val="en-US" w:eastAsia="en-US" w:bidi="en-US"/>
      </w:rPr>
    </w:lvl>
    <w:lvl w:ilvl="7" w:tplc="45786D16">
      <w:numFmt w:val="bullet"/>
      <w:lvlText w:val="•"/>
      <w:lvlJc w:val="left"/>
      <w:pPr>
        <w:ind w:left="8083" w:hanging="540"/>
      </w:pPr>
      <w:rPr>
        <w:rFonts w:hint="default"/>
        <w:lang w:val="en-US" w:eastAsia="en-US" w:bidi="en-US"/>
      </w:rPr>
    </w:lvl>
    <w:lvl w:ilvl="8" w:tplc="7F346F92">
      <w:numFmt w:val="bullet"/>
      <w:lvlText w:val="•"/>
      <w:lvlJc w:val="left"/>
      <w:pPr>
        <w:ind w:left="8952" w:hanging="540"/>
      </w:pPr>
      <w:rPr>
        <w:rFonts w:hint="default"/>
        <w:lang w:val="en-US" w:eastAsia="en-US" w:bidi="en-US"/>
      </w:rPr>
    </w:lvl>
  </w:abstractNum>
  <w:abstractNum w:abstractNumId="22">
    <w:nsid w:val="207A243D"/>
    <w:multiLevelType w:val="hybridMultilevel"/>
    <w:tmpl w:val="67222194"/>
    <w:lvl w:ilvl="0" w:tplc="4DB69D9E">
      <w:start w:val="1"/>
      <w:numFmt w:val="lowerLetter"/>
      <w:lvlText w:val="%1)"/>
      <w:lvlJc w:val="left"/>
      <w:pPr>
        <w:ind w:left="2401" w:hanging="360"/>
      </w:pPr>
      <w:rPr>
        <w:rFonts w:hint="default"/>
        <w:b/>
        <w:color w:val="000000"/>
      </w:rPr>
    </w:lvl>
    <w:lvl w:ilvl="1" w:tplc="04090019">
      <w:start w:val="1"/>
      <w:numFmt w:val="lowerLetter"/>
      <w:lvlText w:val="%2."/>
      <w:lvlJc w:val="left"/>
      <w:pPr>
        <w:ind w:left="3121" w:hanging="360"/>
      </w:pPr>
    </w:lvl>
    <w:lvl w:ilvl="2" w:tplc="0409001B" w:tentative="1">
      <w:start w:val="1"/>
      <w:numFmt w:val="lowerRoman"/>
      <w:lvlText w:val="%3."/>
      <w:lvlJc w:val="right"/>
      <w:pPr>
        <w:ind w:left="3841" w:hanging="180"/>
      </w:pPr>
    </w:lvl>
    <w:lvl w:ilvl="3" w:tplc="0409000F" w:tentative="1">
      <w:start w:val="1"/>
      <w:numFmt w:val="decimal"/>
      <w:lvlText w:val="%4."/>
      <w:lvlJc w:val="left"/>
      <w:pPr>
        <w:ind w:left="4561" w:hanging="360"/>
      </w:pPr>
    </w:lvl>
    <w:lvl w:ilvl="4" w:tplc="04090019" w:tentative="1">
      <w:start w:val="1"/>
      <w:numFmt w:val="lowerLetter"/>
      <w:lvlText w:val="%5."/>
      <w:lvlJc w:val="left"/>
      <w:pPr>
        <w:ind w:left="5281" w:hanging="360"/>
      </w:pPr>
    </w:lvl>
    <w:lvl w:ilvl="5" w:tplc="0409001B" w:tentative="1">
      <w:start w:val="1"/>
      <w:numFmt w:val="lowerRoman"/>
      <w:lvlText w:val="%6."/>
      <w:lvlJc w:val="right"/>
      <w:pPr>
        <w:ind w:left="6001" w:hanging="180"/>
      </w:pPr>
    </w:lvl>
    <w:lvl w:ilvl="6" w:tplc="0409000F" w:tentative="1">
      <w:start w:val="1"/>
      <w:numFmt w:val="decimal"/>
      <w:lvlText w:val="%7."/>
      <w:lvlJc w:val="left"/>
      <w:pPr>
        <w:ind w:left="6721" w:hanging="360"/>
      </w:pPr>
    </w:lvl>
    <w:lvl w:ilvl="7" w:tplc="04090019" w:tentative="1">
      <w:start w:val="1"/>
      <w:numFmt w:val="lowerLetter"/>
      <w:lvlText w:val="%8."/>
      <w:lvlJc w:val="left"/>
      <w:pPr>
        <w:ind w:left="7441" w:hanging="360"/>
      </w:pPr>
    </w:lvl>
    <w:lvl w:ilvl="8" w:tplc="0409001B" w:tentative="1">
      <w:start w:val="1"/>
      <w:numFmt w:val="lowerRoman"/>
      <w:lvlText w:val="%9."/>
      <w:lvlJc w:val="right"/>
      <w:pPr>
        <w:ind w:left="8161" w:hanging="180"/>
      </w:pPr>
    </w:lvl>
  </w:abstractNum>
  <w:abstractNum w:abstractNumId="23">
    <w:nsid w:val="252A7331"/>
    <w:multiLevelType w:val="multilevel"/>
    <w:tmpl w:val="46466E06"/>
    <w:lvl w:ilvl="0">
      <w:start w:val="5"/>
      <w:numFmt w:val="decimal"/>
      <w:lvlText w:val="%1."/>
      <w:lvlJc w:val="left"/>
      <w:pPr>
        <w:ind w:left="1640" w:hanging="1080"/>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621" w:hanging="1061"/>
      </w:pPr>
      <w:rPr>
        <w:rFonts w:ascii="Times New Roman" w:eastAsia="Times New Roman" w:hAnsi="Times New Roman" w:cs="Times New Roman" w:hint="default"/>
        <w:spacing w:val="0"/>
        <w:w w:val="96"/>
        <w:sz w:val="20"/>
        <w:szCs w:val="20"/>
        <w:lang w:val="en-US" w:eastAsia="en-US" w:bidi="en-US"/>
      </w:rPr>
    </w:lvl>
    <w:lvl w:ilvl="2">
      <w:start w:val="1"/>
      <w:numFmt w:val="decimal"/>
      <w:lvlText w:val="(%3)"/>
      <w:lvlJc w:val="left"/>
      <w:pPr>
        <w:ind w:left="1640" w:hanging="360"/>
      </w:pPr>
      <w:rPr>
        <w:rFonts w:ascii="Arial" w:eastAsia="Arial" w:hAnsi="Arial" w:cs="Arial" w:hint="default"/>
        <w:w w:val="96"/>
        <w:sz w:val="20"/>
        <w:szCs w:val="20"/>
        <w:lang w:val="en-US" w:eastAsia="en-US" w:bidi="en-US"/>
      </w:rPr>
    </w:lvl>
    <w:lvl w:ilvl="3">
      <w:numFmt w:val="bullet"/>
      <w:lvlText w:val="•"/>
      <w:lvlJc w:val="left"/>
      <w:pPr>
        <w:ind w:left="3651" w:hanging="360"/>
      </w:pPr>
      <w:rPr>
        <w:rFonts w:hint="default"/>
        <w:lang w:val="en-US" w:eastAsia="en-US" w:bidi="en-US"/>
      </w:rPr>
    </w:lvl>
    <w:lvl w:ilvl="4">
      <w:numFmt w:val="bullet"/>
      <w:lvlText w:val="•"/>
      <w:lvlJc w:val="left"/>
      <w:pPr>
        <w:ind w:left="4657" w:hanging="360"/>
      </w:pPr>
      <w:rPr>
        <w:rFonts w:hint="default"/>
        <w:lang w:val="en-US" w:eastAsia="en-US" w:bidi="en-US"/>
      </w:rPr>
    </w:lvl>
    <w:lvl w:ilvl="5">
      <w:numFmt w:val="bullet"/>
      <w:lvlText w:val="•"/>
      <w:lvlJc w:val="left"/>
      <w:pPr>
        <w:ind w:left="5662" w:hanging="360"/>
      </w:pPr>
      <w:rPr>
        <w:rFonts w:hint="default"/>
        <w:lang w:val="en-US" w:eastAsia="en-US" w:bidi="en-US"/>
      </w:rPr>
    </w:lvl>
    <w:lvl w:ilvl="6">
      <w:numFmt w:val="bullet"/>
      <w:lvlText w:val="•"/>
      <w:lvlJc w:val="left"/>
      <w:pPr>
        <w:ind w:left="6668" w:hanging="360"/>
      </w:pPr>
      <w:rPr>
        <w:rFonts w:hint="default"/>
        <w:lang w:val="en-US" w:eastAsia="en-US" w:bidi="en-US"/>
      </w:rPr>
    </w:lvl>
    <w:lvl w:ilvl="7">
      <w:numFmt w:val="bullet"/>
      <w:lvlText w:val="•"/>
      <w:lvlJc w:val="left"/>
      <w:pPr>
        <w:ind w:left="7674" w:hanging="360"/>
      </w:pPr>
      <w:rPr>
        <w:rFonts w:hint="default"/>
        <w:lang w:val="en-US" w:eastAsia="en-US" w:bidi="en-US"/>
      </w:rPr>
    </w:lvl>
    <w:lvl w:ilvl="8">
      <w:numFmt w:val="bullet"/>
      <w:lvlText w:val="•"/>
      <w:lvlJc w:val="left"/>
      <w:pPr>
        <w:ind w:left="8679" w:hanging="360"/>
      </w:pPr>
      <w:rPr>
        <w:rFonts w:hint="default"/>
        <w:lang w:val="en-US" w:eastAsia="en-US" w:bidi="en-US"/>
      </w:rPr>
    </w:lvl>
  </w:abstractNum>
  <w:abstractNum w:abstractNumId="24">
    <w:nsid w:val="2F8300E6"/>
    <w:multiLevelType w:val="multilevel"/>
    <w:tmpl w:val="568A473A"/>
    <w:lvl w:ilvl="0">
      <w:start w:val="4"/>
      <w:numFmt w:val="decimal"/>
      <w:lvlText w:val="%1"/>
      <w:lvlJc w:val="left"/>
      <w:pPr>
        <w:ind w:left="2014" w:hanging="536"/>
      </w:pPr>
      <w:rPr>
        <w:rFonts w:hint="default"/>
        <w:lang w:val="en-US" w:eastAsia="en-US" w:bidi="en-US"/>
      </w:rPr>
    </w:lvl>
    <w:lvl w:ilvl="1">
      <w:start w:val="2"/>
      <w:numFmt w:val="decimal"/>
      <w:lvlText w:val="%1.%2"/>
      <w:lvlJc w:val="left"/>
      <w:pPr>
        <w:ind w:left="2014" w:hanging="536"/>
        <w:jc w:val="right"/>
      </w:pPr>
      <w:rPr>
        <w:rFonts w:hint="default"/>
        <w:lang w:val="en-US" w:eastAsia="en-US" w:bidi="en-US"/>
      </w:rPr>
    </w:lvl>
    <w:lvl w:ilvl="2">
      <w:start w:val="1"/>
      <w:numFmt w:val="decimal"/>
      <w:lvlText w:val="%1.%2.%3"/>
      <w:lvlJc w:val="left"/>
      <w:pPr>
        <w:ind w:left="2014" w:hanging="536"/>
      </w:pPr>
      <w:rPr>
        <w:rFonts w:ascii="Arial" w:eastAsia="Arial" w:hAnsi="Arial" w:cs="Arial" w:hint="default"/>
        <w:b/>
        <w:bCs/>
        <w:w w:val="97"/>
        <w:sz w:val="20"/>
        <w:szCs w:val="20"/>
        <w:lang w:val="en-US" w:eastAsia="en-US" w:bidi="en-US"/>
      </w:rPr>
    </w:lvl>
    <w:lvl w:ilvl="3">
      <w:numFmt w:val="bullet"/>
      <w:lvlText w:val="•"/>
      <w:lvlJc w:val="left"/>
      <w:pPr>
        <w:ind w:left="3946" w:hanging="536"/>
      </w:pPr>
      <w:rPr>
        <w:rFonts w:hint="default"/>
        <w:lang w:val="en-US" w:eastAsia="en-US" w:bidi="en-US"/>
      </w:rPr>
    </w:lvl>
    <w:lvl w:ilvl="4">
      <w:numFmt w:val="bullet"/>
      <w:lvlText w:val="•"/>
      <w:lvlJc w:val="left"/>
      <w:pPr>
        <w:ind w:left="4910" w:hanging="536"/>
      </w:pPr>
      <w:rPr>
        <w:rFonts w:hint="default"/>
        <w:lang w:val="en-US" w:eastAsia="en-US" w:bidi="en-US"/>
      </w:rPr>
    </w:lvl>
    <w:lvl w:ilvl="5">
      <w:numFmt w:val="bullet"/>
      <w:lvlText w:val="•"/>
      <w:lvlJc w:val="left"/>
      <w:pPr>
        <w:ind w:left="5873" w:hanging="536"/>
      </w:pPr>
      <w:rPr>
        <w:rFonts w:hint="default"/>
        <w:lang w:val="en-US" w:eastAsia="en-US" w:bidi="en-US"/>
      </w:rPr>
    </w:lvl>
    <w:lvl w:ilvl="6">
      <w:numFmt w:val="bullet"/>
      <w:lvlText w:val="•"/>
      <w:lvlJc w:val="left"/>
      <w:pPr>
        <w:ind w:left="6837" w:hanging="536"/>
      </w:pPr>
      <w:rPr>
        <w:rFonts w:hint="default"/>
        <w:lang w:val="en-US" w:eastAsia="en-US" w:bidi="en-US"/>
      </w:rPr>
    </w:lvl>
    <w:lvl w:ilvl="7">
      <w:numFmt w:val="bullet"/>
      <w:lvlText w:val="•"/>
      <w:lvlJc w:val="left"/>
      <w:pPr>
        <w:ind w:left="7800" w:hanging="536"/>
      </w:pPr>
      <w:rPr>
        <w:rFonts w:hint="default"/>
        <w:lang w:val="en-US" w:eastAsia="en-US" w:bidi="en-US"/>
      </w:rPr>
    </w:lvl>
    <w:lvl w:ilvl="8">
      <w:numFmt w:val="bullet"/>
      <w:lvlText w:val="•"/>
      <w:lvlJc w:val="left"/>
      <w:pPr>
        <w:ind w:left="8764" w:hanging="536"/>
      </w:pPr>
      <w:rPr>
        <w:rFonts w:hint="default"/>
        <w:lang w:val="en-US" w:eastAsia="en-US" w:bidi="en-US"/>
      </w:rPr>
    </w:lvl>
  </w:abstractNum>
  <w:abstractNum w:abstractNumId="25">
    <w:nsid w:val="36552ABC"/>
    <w:multiLevelType w:val="hybridMultilevel"/>
    <w:tmpl w:val="35649FBE"/>
    <w:lvl w:ilvl="0" w:tplc="B302C7CC">
      <w:start w:val="1"/>
      <w:numFmt w:val="lowerLetter"/>
      <w:lvlText w:val="%1."/>
      <w:lvlJc w:val="left"/>
      <w:pPr>
        <w:ind w:left="3082" w:hanging="360"/>
      </w:pPr>
      <w:rPr>
        <w:rFonts w:ascii="Arial" w:eastAsia="Arial" w:hAnsi="Arial" w:cs="Arial" w:hint="default"/>
        <w:w w:val="96"/>
        <w:sz w:val="20"/>
        <w:szCs w:val="20"/>
        <w:lang w:val="en-US" w:eastAsia="en-US" w:bidi="en-US"/>
      </w:rPr>
    </w:lvl>
    <w:lvl w:ilvl="1" w:tplc="5C4C3592">
      <w:numFmt w:val="bullet"/>
      <w:lvlText w:val="•"/>
      <w:lvlJc w:val="left"/>
      <w:pPr>
        <w:ind w:left="3841" w:hanging="360"/>
      </w:pPr>
      <w:rPr>
        <w:rFonts w:hint="default"/>
        <w:lang w:val="en-US" w:eastAsia="en-US" w:bidi="en-US"/>
      </w:rPr>
    </w:lvl>
    <w:lvl w:ilvl="2" w:tplc="8FC281B8">
      <w:numFmt w:val="bullet"/>
      <w:lvlText w:val="•"/>
      <w:lvlJc w:val="left"/>
      <w:pPr>
        <w:ind w:left="4602" w:hanging="360"/>
      </w:pPr>
      <w:rPr>
        <w:rFonts w:hint="default"/>
        <w:lang w:val="en-US" w:eastAsia="en-US" w:bidi="en-US"/>
      </w:rPr>
    </w:lvl>
    <w:lvl w:ilvl="3" w:tplc="09A07F8C">
      <w:numFmt w:val="bullet"/>
      <w:lvlText w:val="•"/>
      <w:lvlJc w:val="left"/>
      <w:pPr>
        <w:ind w:left="5363" w:hanging="360"/>
      </w:pPr>
      <w:rPr>
        <w:rFonts w:hint="default"/>
        <w:lang w:val="en-US" w:eastAsia="en-US" w:bidi="en-US"/>
      </w:rPr>
    </w:lvl>
    <w:lvl w:ilvl="4" w:tplc="8FE824F6">
      <w:numFmt w:val="bullet"/>
      <w:lvlText w:val="•"/>
      <w:lvlJc w:val="left"/>
      <w:pPr>
        <w:ind w:left="6124" w:hanging="360"/>
      </w:pPr>
      <w:rPr>
        <w:rFonts w:hint="default"/>
        <w:lang w:val="en-US" w:eastAsia="en-US" w:bidi="en-US"/>
      </w:rPr>
    </w:lvl>
    <w:lvl w:ilvl="5" w:tplc="6E7850BC">
      <w:numFmt w:val="bullet"/>
      <w:lvlText w:val="•"/>
      <w:lvlJc w:val="left"/>
      <w:pPr>
        <w:ind w:left="6885" w:hanging="360"/>
      </w:pPr>
      <w:rPr>
        <w:rFonts w:hint="default"/>
        <w:lang w:val="en-US" w:eastAsia="en-US" w:bidi="en-US"/>
      </w:rPr>
    </w:lvl>
    <w:lvl w:ilvl="6" w:tplc="A992B33E">
      <w:numFmt w:val="bullet"/>
      <w:lvlText w:val="•"/>
      <w:lvlJc w:val="left"/>
      <w:pPr>
        <w:ind w:left="7646" w:hanging="360"/>
      </w:pPr>
      <w:rPr>
        <w:rFonts w:hint="default"/>
        <w:lang w:val="en-US" w:eastAsia="en-US" w:bidi="en-US"/>
      </w:rPr>
    </w:lvl>
    <w:lvl w:ilvl="7" w:tplc="D5D2684A">
      <w:numFmt w:val="bullet"/>
      <w:lvlText w:val="•"/>
      <w:lvlJc w:val="left"/>
      <w:pPr>
        <w:ind w:left="8407" w:hanging="360"/>
      </w:pPr>
      <w:rPr>
        <w:rFonts w:hint="default"/>
        <w:lang w:val="en-US" w:eastAsia="en-US" w:bidi="en-US"/>
      </w:rPr>
    </w:lvl>
    <w:lvl w:ilvl="8" w:tplc="3B6892F4">
      <w:numFmt w:val="bullet"/>
      <w:lvlText w:val="•"/>
      <w:lvlJc w:val="left"/>
      <w:pPr>
        <w:ind w:left="9168" w:hanging="360"/>
      </w:pPr>
      <w:rPr>
        <w:rFonts w:hint="default"/>
        <w:lang w:val="en-US" w:eastAsia="en-US" w:bidi="en-US"/>
      </w:rPr>
    </w:lvl>
  </w:abstractNum>
  <w:abstractNum w:abstractNumId="26">
    <w:nsid w:val="37B6712E"/>
    <w:multiLevelType w:val="multilevel"/>
    <w:tmpl w:val="D94263BC"/>
    <w:lvl w:ilvl="0">
      <w:start w:val="1"/>
      <w:numFmt w:val="decimal"/>
      <w:lvlText w:val="%1."/>
      <w:lvlJc w:val="left"/>
      <w:pPr>
        <w:ind w:left="1640" w:hanging="1080"/>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621" w:hanging="1061"/>
      </w:pPr>
      <w:rPr>
        <w:rFonts w:hint="default"/>
        <w:spacing w:val="0"/>
        <w:w w:val="96"/>
        <w:lang w:val="en-US" w:eastAsia="en-US" w:bidi="en-US"/>
      </w:rPr>
    </w:lvl>
    <w:lvl w:ilvl="2">
      <w:numFmt w:val="bullet"/>
      <w:lvlText w:val="•"/>
      <w:lvlJc w:val="left"/>
      <w:pPr>
        <w:ind w:left="2645" w:hanging="1061"/>
      </w:pPr>
      <w:rPr>
        <w:rFonts w:hint="default"/>
        <w:lang w:val="en-US" w:eastAsia="en-US" w:bidi="en-US"/>
      </w:rPr>
    </w:lvl>
    <w:lvl w:ilvl="3">
      <w:numFmt w:val="bullet"/>
      <w:lvlText w:val="•"/>
      <w:lvlJc w:val="left"/>
      <w:pPr>
        <w:ind w:left="3651" w:hanging="1061"/>
      </w:pPr>
      <w:rPr>
        <w:rFonts w:hint="default"/>
        <w:lang w:val="en-US" w:eastAsia="en-US" w:bidi="en-US"/>
      </w:rPr>
    </w:lvl>
    <w:lvl w:ilvl="4">
      <w:numFmt w:val="bullet"/>
      <w:lvlText w:val="•"/>
      <w:lvlJc w:val="left"/>
      <w:pPr>
        <w:ind w:left="4657" w:hanging="1061"/>
      </w:pPr>
      <w:rPr>
        <w:rFonts w:hint="default"/>
        <w:lang w:val="en-US" w:eastAsia="en-US" w:bidi="en-US"/>
      </w:rPr>
    </w:lvl>
    <w:lvl w:ilvl="5">
      <w:numFmt w:val="bullet"/>
      <w:lvlText w:val="•"/>
      <w:lvlJc w:val="left"/>
      <w:pPr>
        <w:ind w:left="5662" w:hanging="1061"/>
      </w:pPr>
      <w:rPr>
        <w:rFonts w:hint="default"/>
        <w:lang w:val="en-US" w:eastAsia="en-US" w:bidi="en-US"/>
      </w:rPr>
    </w:lvl>
    <w:lvl w:ilvl="6">
      <w:numFmt w:val="bullet"/>
      <w:lvlText w:val="•"/>
      <w:lvlJc w:val="left"/>
      <w:pPr>
        <w:ind w:left="6668" w:hanging="1061"/>
      </w:pPr>
      <w:rPr>
        <w:rFonts w:hint="default"/>
        <w:lang w:val="en-US" w:eastAsia="en-US" w:bidi="en-US"/>
      </w:rPr>
    </w:lvl>
    <w:lvl w:ilvl="7">
      <w:numFmt w:val="bullet"/>
      <w:lvlText w:val="•"/>
      <w:lvlJc w:val="left"/>
      <w:pPr>
        <w:ind w:left="7674" w:hanging="1061"/>
      </w:pPr>
      <w:rPr>
        <w:rFonts w:hint="default"/>
        <w:lang w:val="en-US" w:eastAsia="en-US" w:bidi="en-US"/>
      </w:rPr>
    </w:lvl>
    <w:lvl w:ilvl="8">
      <w:numFmt w:val="bullet"/>
      <w:lvlText w:val="•"/>
      <w:lvlJc w:val="left"/>
      <w:pPr>
        <w:ind w:left="8679" w:hanging="1061"/>
      </w:pPr>
      <w:rPr>
        <w:rFonts w:hint="default"/>
        <w:lang w:val="en-US" w:eastAsia="en-US" w:bidi="en-US"/>
      </w:rPr>
    </w:lvl>
  </w:abstractNum>
  <w:abstractNum w:abstractNumId="27">
    <w:nsid w:val="38931162"/>
    <w:multiLevelType w:val="hybridMultilevel"/>
    <w:tmpl w:val="37B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A21F5"/>
    <w:multiLevelType w:val="hybridMultilevel"/>
    <w:tmpl w:val="97F057CC"/>
    <w:lvl w:ilvl="0" w:tplc="8DD46936">
      <w:start w:val="1"/>
      <w:numFmt w:val="lowerLetter"/>
      <w:lvlText w:val="(%1)"/>
      <w:lvlJc w:val="left"/>
      <w:pPr>
        <w:ind w:left="2520" w:hanging="360"/>
      </w:pPr>
      <w:rPr>
        <w:rFonts w:hint="default"/>
        <w:w w:val="10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1471404"/>
    <w:multiLevelType w:val="hybridMultilevel"/>
    <w:tmpl w:val="FFD421A4"/>
    <w:lvl w:ilvl="0" w:tplc="6FA6A15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660D2B"/>
    <w:multiLevelType w:val="hybridMultilevel"/>
    <w:tmpl w:val="DCB0EADA"/>
    <w:lvl w:ilvl="0" w:tplc="651428C8">
      <w:start w:val="1"/>
      <w:numFmt w:val="lowerRoman"/>
      <w:lvlText w:val="%1."/>
      <w:lvlJc w:val="left"/>
      <w:pPr>
        <w:ind w:left="2000" w:hanging="281"/>
        <w:jc w:val="right"/>
      </w:pPr>
      <w:rPr>
        <w:rFonts w:ascii="Arial" w:eastAsia="Arial" w:hAnsi="Arial" w:cs="Arial" w:hint="default"/>
        <w:spacing w:val="-3"/>
        <w:w w:val="96"/>
        <w:sz w:val="20"/>
        <w:szCs w:val="20"/>
        <w:lang w:val="en-US" w:eastAsia="en-US" w:bidi="en-US"/>
      </w:rPr>
    </w:lvl>
    <w:lvl w:ilvl="1" w:tplc="FAA2E0B0">
      <w:numFmt w:val="bullet"/>
      <w:lvlText w:val="•"/>
      <w:lvlJc w:val="left"/>
      <w:pPr>
        <w:ind w:left="2869" w:hanging="281"/>
      </w:pPr>
      <w:rPr>
        <w:rFonts w:hint="default"/>
        <w:lang w:val="en-US" w:eastAsia="en-US" w:bidi="en-US"/>
      </w:rPr>
    </w:lvl>
    <w:lvl w:ilvl="2" w:tplc="43B00BB4">
      <w:numFmt w:val="bullet"/>
      <w:lvlText w:val="•"/>
      <w:lvlJc w:val="left"/>
      <w:pPr>
        <w:ind w:left="3738" w:hanging="281"/>
      </w:pPr>
      <w:rPr>
        <w:rFonts w:hint="default"/>
        <w:lang w:val="en-US" w:eastAsia="en-US" w:bidi="en-US"/>
      </w:rPr>
    </w:lvl>
    <w:lvl w:ilvl="3" w:tplc="7BA83FCE">
      <w:numFmt w:val="bullet"/>
      <w:lvlText w:val="•"/>
      <w:lvlJc w:val="left"/>
      <w:pPr>
        <w:ind w:left="4607" w:hanging="281"/>
      </w:pPr>
      <w:rPr>
        <w:rFonts w:hint="default"/>
        <w:lang w:val="en-US" w:eastAsia="en-US" w:bidi="en-US"/>
      </w:rPr>
    </w:lvl>
    <w:lvl w:ilvl="4" w:tplc="35AA41D8">
      <w:numFmt w:val="bullet"/>
      <w:lvlText w:val="•"/>
      <w:lvlJc w:val="left"/>
      <w:pPr>
        <w:ind w:left="5476" w:hanging="281"/>
      </w:pPr>
      <w:rPr>
        <w:rFonts w:hint="default"/>
        <w:lang w:val="en-US" w:eastAsia="en-US" w:bidi="en-US"/>
      </w:rPr>
    </w:lvl>
    <w:lvl w:ilvl="5" w:tplc="4AA89BE6">
      <w:numFmt w:val="bullet"/>
      <w:lvlText w:val="•"/>
      <w:lvlJc w:val="left"/>
      <w:pPr>
        <w:ind w:left="6345" w:hanging="281"/>
      </w:pPr>
      <w:rPr>
        <w:rFonts w:hint="default"/>
        <w:lang w:val="en-US" w:eastAsia="en-US" w:bidi="en-US"/>
      </w:rPr>
    </w:lvl>
    <w:lvl w:ilvl="6" w:tplc="3F04E97A">
      <w:numFmt w:val="bullet"/>
      <w:lvlText w:val="•"/>
      <w:lvlJc w:val="left"/>
      <w:pPr>
        <w:ind w:left="7214" w:hanging="281"/>
      </w:pPr>
      <w:rPr>
        <w:rFonts w:hint="default"/>
        <w:lang w:val="en-US" w:eastAsia="en-US" w:bidi="en-US"/>
      </w:rPr>
    </w:lvl>
    <w:lvl w:ilvl="7" w:tplc="B5086A76">
      <w:numFmt w:val="bullet"/>
      <w:lvlText w:val="•"/>
      <w:lvlJc w:val="left"/>
      <w:pPr>
        <w:ind w:left="8083" w:hanging="281"/>
      </w:pPr>
      <w:rPr>
        <w:rFonts w:hint="default"/>
        <w:lang w:val="en-US" w:eastAsia="en-US" w:bidi="en-US"/>
      </w:rPr>
    </w:lvl>
    <w:lvl w:ilvl="8" w:tplc="AEDCD9B8">
      <w:numFmt w:val="bullet"/>
      <w:lvlText w:val="•"/>
      <w:lvlJc w:val="left"/>
      <w:pPr>
        <w:ind w:left="8952" w:hanging="281"/>
      </w:pPr>
      <w:rPr>
        <w:rFonts w:hint="default"/>
        <w:lang w:val="en-US" w:eastAsia="en-US" w:bidi="en-US"/>
      </w:rPr>
    </w:lvl>
  </w:abstractNum>
  <w:abstractNum w:abstractNumId="31">
    <w:nsid w:val="43695C86"/>
    <w:multiLevelType w:val="hybridMultilevel"/>
    <w:tmpl w:val="7E3E6F30"/>
    <w:lvl w:ilvl="0" w:tplc="F880F770">
      <w:start w:val="1"/>
      <w:numFmt w:val="lowerRoman"/>
      <w:lvlText w:val="%1."/>
      <w:lvlJc w:val="left"/>
      <w:pPr>
        <w:ind w:left="2000" w:hanging="461"/>
        <w:jc w:val="right"/>
      </w:pPr>
      <w:rPr>
        <w:rFonts w:ascii="Arial" w:eastAsia="Arial" w:hAnsi="Arial" w:cs="Arial" w:hint="default"/>
        <w:spacing w:val="-3"/>
        <w:w w:val="96"/>
        <w:sz w:val="20"/>
        <w:szCs w:val="20"/>
        <w:lang w:val="en-US" w:eastAsia="en-US" w:bidi="en-US"/>
      </w:rPr>
    </w:lvl>
    <w:lvl w:ilvl="1" w:tplc="21CAC14C">
      <w:numFmt w:val="bullet"/>
      <w:lvlText w:val="•"/>
      <w:lvlJc w:val="left"/>
      <w:pPr>
        <w:ind w:left="2869" w:hanging="461"/>
      </w:pPr>
      <w:rPr>
        <w:rFonts w:hint="default"/>
        <w:lang w:val="en-US" w:eastAsia="en-US" w:bidi="en-US"/>
      </w:rPr>
    </w:lvl>
    <w:lvl w:ilvl="2" w:tplc="2BBE5DC2">
      <w:numFmt w:val="bullet"/>
      <w:lvlText w:val="•"/>
      <w:lvlJc w:val="left"/>
      <w:pPr>
        <w:ind w:left="3738" w:hanging="461"/>
      </w:pPr>
      <w:rPr>
        <w:rFonts w:hint="default"/>
        <w:lang w:val="en-US" w:eastAsia="en-US" w:bidi="en-US"/>
      </w:rPr>
    </w:lvl>
    <w:lvl w:ilvl="3" w:tplc="5C7A0DD0">
      <w:numFmt w:val="bullet"/>
      <w:lvlText w:val="•"/>
      <w:lvlJc w:val="left"/>
      <w:pPr>
        <w:ind w:left="4607" w:hanging="461"/>
      </w:pPr>
      <w:rPr>
        <w:rFonts w:hint="default"/>
        <w:lang w:val="en-US" w:eastAsia="en-US" w:bidi="en-US"/>
      </w:rPr>
    </w:lvl>
    <w:lvl w:ilvl="4" w:tplc="46BE5F4A">
      <w:numFmt w:val="bullet"/>
      <w:lvlText w:val="•"/>
      <w:lvlJc w:val="left"/>
      <w:pPr>
        <w:ind w:left="5476" w:hanging="461"/>
      </w:pPr>
      <w:rPr>
        <w:rFonts w:hint="default"/>
        <w:lang w:val="en-US" w:eastAsia="en-US" w:bidi="en-US"/>
      </w:rPr>
    </w:lvl>
    <w:lvl w:ilvl="5" w:tplc="0472F762">
      <w:numFmt w:val="bullet"/>
      <w:lvlText w:val="•"/>
      <w:lvlJc w:val="left"/>
      <w:pPr>
        <w:ind w:left="6345" w:hanging="461"/>
      </w:pPr>
      <w:rPr>
        <w:rFonts w:hint="default"/>
        <w:lang w:val="en-US" w:eastAsia="en-US" w:bidi="en-US"/>
      </w:rPr>
    </w:lvl>
    <w:lvl w:ilvl="6" w:tplc="2102B078">
      <w:numFmt w:val="bullet"/>
      <w:lvlText w:val="•"/>
      <w:lvlJc w:val="left"/>
      <w:pPr>
        <w:ind w:left="7214" w:hanging="461"/>
      </w:pPr>
      <w:rPr>
        <w:rFonts w:hint="default"/>
        <w:lang w:val="en-US" w:eastAsia="en-US" w:bidi="en-US"/>
      </w:rPr>
    </w:lvl>
    <w:lvl w:ilvl="7" w:tplc="585E9792">
      <w:numFmt w:val="bullet"/>
      <w:lvlText w:val="•"/>
      <w:lvlJc w:val="left"/>
      <w:pPr>
        <w:ind w:left="8083" w:hanging="461"/>
      </w:pPr>
      <w:rPr>
        <w:rFonts w:hint="default"/>
        <w:lang w:val="en-US" w:eastAsia="en-US" w:bidi="en-US"/>
      </w:rPr>
    </w:lvl>
    <w:lvl w:ilvl="8" w:tplc="200A6FD6">
      <w:numFmt w:val="bullet"/>
      <w:lvlText w:val="•"/>
      <w:lvlJc w:val="left"/>
      <w:pPr>
        <w:ind w:left="8952" w:hanging="461"/>
      </w:pPr>
      <w:rPr>
        <w:rFonts w:hint="default"/>
        <w:lang w:val="en-US" w:eastAsia="en-US" w:bidi="en-US"/>
      </w:rPr>
    </w:lvl>
  </w:abstractNum>
  <w:abstractNum w:abstractNumId="32">
    <w:nsid w:val="443971B3"/>
    <w:multiLevelType w:val="hybridMultilevel"/>
    <w:tmpl w:val="86143014"/>
    <w:lvl w:ilvl="0" w:tplc="C9EAAB70">
      <w:start w:val="1"/>
      <w:numFmt w:val="lowerLetter"/>
      <w:lvlText w:val="%1)"/>
      <w:lvlJc w:val="left"/>
      <w:pPr>
        <w:ind w:left="1820" w:hanging="360"/>
      </w:pPr>
      <w:rPr>
        <w:rFonts w:ascii="Arial" w:eastAsia="Arial" w:hAnsi="Arial" w:cs="Arial" w:hint="default"/>
        <w:w w:val="96"/>
        <w:sz w:val="20"/>
        <w:szCs w:val="20"/>
        <w:lang w:val="en-US" w:eastAsia="en-US" w:bidi="en-US"/>
      </w:rPr>
    </w:lvl>
    <w:lvl w:ilvl="1" w:tplc="61DA7D2E">
      <w:numFmt w:val="bullet"/>
      <w:lvlText w:val="•"/>
      <w:lvlJc w:val="left"/>
      <w:pPr>
        <w:ind w:left="2707" w:hanging="360"/>
      </w:pPr>
      <w:rPr>
        <w:rFonts w:hint="default"/>
        <w:lang w:val="en-US" w:eastAsia="en-US" w:bidi="en-US"/>
      </w:rPr>
    </w:lvl>
    <w:lvl w:ilvl="2" w:tplc="CF28C40E">
      <w:numFmt w:val="bullet"/>
      <w:lvlText w:val="•"/>
      <w:lvlJc w:val="left"/>
      <w:pPr>
        <w:ind w:left="3594" w:hanging="360"/>
      </w:pPr>
      <w:rPr>
        <w:rFonts w:hint="default"/>
        <w:lang w:val="en-US" w:eastAsia="en-US" w:bidi="en-US"/>
      </w:rPr>
    </w:lvl>
    <w:lvl w:ilvl="3" w:tplc="DC2AD3E4">
      <w:numFmt w:val="bullet"/>
      <w:lvlText w:val="•"/>
      <w:lvlJc w:val="left"/>
      <w:pPr>
        <w:ind w:left="4481" w:hanging="360"/>
      </w:pPr>
      <w:rPr>
        <w:rFonts w:hint="default"/>
        <w:lang w:val="en-US" w:eastAsia="en-US" w:bidi="en-US"/>
      </w:rPr>
    </w:lvl>
    <w:lvl w:ilvl="4" w:tplc="9398D810">
      <w:numFmt w:val="bullet"/>
      <w:lvlText w:val="•"/>
      <w:lvlJc w:val="left"/>
      <w:pPr>
        <w:ind w:left="5368" w:hanging="360"/>
      </w:pPr>
      <w:rPr>
        <w:rFonts w:hint="default"/>
        <w:lang w:val="en-US" w:eastAsia="en-US" w:bidi="en-US"/>
      </w:rPr>
    </w:lvl>
    <w:lvl w:ilvl="5" w:tplc="58423E8E">
      <w:numFmt w:val="bullet"/>
      <w:lvlText w:val="•"/>
      <w:lvlJc w:val="left"/>
      <w:pPr>
        <w:ind w:left="6255" w:hanging="360"/>
      </w:pPr>
      <w:rPr>
        <w:rFonts w:hint="default"/>
        <w:lang w:val="en-US" w:eastAsia="en-US" w:bidi="en-US"/>
      </w:rPr>
    </w:lvl>
    <w:lvl w:ilvl="6" w:tplc="4552CDE0">
      <w:numFmt w:val="bullet"/>
      <w:lvlText w:val="•"/>
      <w:lvlJc w:val="left"/>
      <w:pPr>
        <w:ind w:left="7142" w:hanging="360"/>
      </w:pPr>
      <w:rPr>
        <w:rFonts w:hint="default"/>
        <w:lang w:val="en-US" w:eastAsia="en-US" w:bidi="en-US"/>
      </w:rPr>
    </w:lvl>
    <w:lvl w:ilvl="7" w:tplc="B5CAA462">
      <w:numFmt w:val="bullet"/>
      <w:lvlText w:val="•"/>
      <w:lvlJc w:val="left"/>
      <w:pPr>
        <w:ind w:left="8029" w:hanging="360"/>
      </w:pPr>
      <w:rPr>
        <w:rFonts w:hint="default"/>
        <w:lang w:val="en-US" w:eastAsia="en-US" w:bidi="en-US"/>
      </w:rPr>
    </w:lvl>
    <w:lvl w:ilvl="8" w:tplc="BB4858CE">
      <w:numFmt w:val="bullet"/>
      <w:lvlText w:val="•"/>
      <w:lvlJc w:val="left"/>
      <w:pPr>
        <w:ind w:left="8916" w:hanging="360"/>
      </w:pPr>
      <w:rPr>
        <w:rFonts w:hint="default"/>
        <w:lang w:val="en-US" w:eastAsia="en-US" w:bidi="en-US"/>
      </w:rPr>
    </w:lvl>
  </w:abstractNum>
  <w:abstractNum w:abstractNumId="33">
    <w:nsid w:val="461D0AD4"/>
    <w:multiLevelType w:val="hybridMultilevel"/>
    <w:tmpl w:val="3E8ABFCC"/>
    <w:lvl w:ilvl="0" w:tplc="8334F0CC">
      <w:start w:val="1"/>
      <w:numFmt w:val="lowerLetter"/>
      <w:lvlText w:val="(%1)"/>
      <w:lvlJc w:val="left"/>
      <w:pPr>
        <w:ind w:left="1640" w:hanging="360"/>
      </w:pPr>
      <w:rPr>
        <w:rFonts w:ascii="Arial" w:eastAsia="Arial" w:hAnsi="Arial" w:cs="Arial" w:hint="default"/>
        <w:w w:val="96"/>
        <w:sz w:val="20"/>
        <w:szCs w:val="20"/>
        <w:lang w:val="en-US" w:eastAsia="en-US" w:bidi="en-US"/>
      </w:rPr>
    </w:lvl>
    <w:lvl w:ilvl="1" w:tplc="69BCD796">
      <w:numFmt w:val="bullet"/>
      <w:lvlText w:val="•"/>
      <w:lvlJc w:val="left"/>
      <w:pPr>
        <w:ind w:left="2545" w:hanging="360"/>
      </w:pPr>
      <w:rPr>
        <w:rFonts w:hint="default"/>
        <w:lang w:val="en-US" w:eastAsia="en-US" w:bidi="en-US"/>
      </w:rPr>
    </w:lvl>
    <w:lvl w:ilvl="2" w:tplc="0E703AA0">
      <w:numFmt w:val="bullet"/>
      <w:lvlText w:val="•"/>
      <w:lvlJc w:val="left"/>
      <w:pPr>
        <w:ind w:left="3450" w:hanging="360"/>
      </w:pPr>
      <w:rPr>
        <w:rFonts w:hint="default"/>
        <w:lang w:val="en-US" w:eastAsia="en-US" w:bidi="en-US"/>
      </w:rPr>
    </w:lvl>
    <w:lvl w:ilvl="3" w:tplc="7D66247C">
      <w:numFmt w:val="bullet"/>
      <w:lvlText w:val="•"/>
      <w:lvlJc w:val="left"/>
      <w:pPr>
        <w:ind w:left="4355" w:hanging="360"/>
      </w:pPr>
      <w:rPr>
        <w:rFonts w:hint="default"/>
        <w:lang w:val="en-US" w:eastAsia="en-US" w:bidi="en-US"/>
      </w:rPr>
    </w:lvl>
    <w:lvl w:ilvl="4" w:tplc="14403A32">
      <w:numFmt w:val="bullet"/>
      <w:lvlText w:val="•"/>
      <w:lvlJc w:val="left"/>
      <w:pPr>
        <w:ind w:left="5260" w:hanging="360"/>
      </w:pPr>
      <w:rPr>
        <w:rFonts w:hint="default"/>
        <w:lang w:val="en-US" w:eastAsia="en-US" w:bidi="en-US"/>
      </w:rPr>
    </w:lvl>
    <w:lvl w:ilvl="5" w:tplc="115C4CBE">
      <w:numFmt w:val="bullet"/>
      <w:lvlText w:val="•"/>
      <w:lvlJc w:val="left"/>
      <w:pPr>
        <w:ind w:left="6165" w:hanging="360"/>
      </w:pPr>
      <w:rPr>
        <w:rFonts w:hint="default"/>
        <w:lang w:val="en-US" w:eastAsia="en-US" w:bidi="en-US"/>
      </w:rPr>
    </w:lvl>
    <w:lvl w:ilvl="6" w:tplc="AAB69AE0">
      <w:numFmt w:val="bullet"/>
      <w:lvlText w:val="•"/>
      <w:lvlJc w:val="left"/>
      <w:pPr>
        <w:ind w:left="7070" w:hanging="360"/>
      </w:pPr>
      <w:rPr>
        <w:rFonts w:hint="default"/>
        <w:lang w:val="en-US" w:eastAsia="en-US" w:bidi="en-US"/>
      </w:rPr>
    </w:lvl>
    <w:lvl w:ilvl="7" w:tplc="211A3D2A">
      <w:numFmt w:val="bullet"/>
      <w:lvlText w:val="•"/>
      <w:lvlJc w:val="left"/>
      <w:pPr>
        <w:ind w:left="7975" w:hanging="360"/>
      </w:pPr>
      <w:rPr>
        <w:rFonts w:hint="default"/>
        <w:lang w:val="en-US" w:eastAsia="en-US" w:bidi="en-US"/>
      </w:rPr>
    </w:lvl>
    <w:lvl w:ilvl="8" w:tplc="C24ED9F4">
      <w:numFmt w:val="bullet"/>
      <w:lvlText w:val="•"/>
      <w:lvlJc w:val="left"/>
      <w:pPr>
        <w:ind w:left="8880" w:hanging="360"/>
      </w:pPr>
      <w:rPr>
        <w:rFonts w:hint="default"/>
        <w:lang w:val="en-US" w:eastAsia="en-US" w:bidi="en-US"/>
      </w:rPr>
    </w:lvl>
  </w:abstractNum>
  <w:abstractNum w:abstractNumId="34">
    <w:nsid w:val="4B442B3F"/>
    <w:multiLevelType w:val="multilevel"/>
    <w:tmpl w:val="99B06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EBF2D53"/>
    <w:multiLevelType w:val="hybridMultilevel"/>
    <w:tmpl w:val="04CA2A7C"/>
    <w:lvl w:ilvl="0" w:tplc="55787412">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3A8EE7DA">
      <w:start w:val="1"/>
      <w:numFmt w:val="lowerRoman"/>
      <w:lvlText w:val="(%2)"/>
      <w:lvlJc w:val="left"/>
      <w:pPr>
        <w:ind w:left="2542" w:hanging="272"/>
      </w:pPr>
      <w:rPr>
        <w:rFonts w:ascii="Arial" w:eastAsia="Arial" w:hAnsi="Arial" w:cs="Arial" w:hint="default"/>
        <w:w w:val="96"/>
        <w:sz w:val="20"/>
        <w:szCs w:val="20"/>
        <w:lang w:val="en-US" w:eastAsia="en-US" w:bidi="en-US"/>
      </w:rPr>
    </w:lvl>
    <w:lvl w:ilvl="2" w:tplc="3BEC1F32">
      <w:numFmt w:val="bullet"/>
      <w:lvlText w:val="•"/>
      <w:lvlJc w:val="left"/>
      <w:pPr>
        <w:ind w:left="3445" w:hanging="272"/>
      </w:pPr>
      <w:rPr>
        <w:rFonts w:hint="default"/>
        <w:lang w:val="en-US" w:eastAsia="en-US" w:bidi="en-US"/>
      </w:rPr>
    </w:lvl>
    <w:lvl w:ilvl="3" w:tplc="06ECF384">
      <w:numFmt w:val="bullet"/>
      <w:lvlText w:val="•"/>
      <w:lvlJc w:val="left"/>
      <w:pPr>
        <w:ind w:left="4351" w:hanging="272"/>
      </w:pPr>
      <w:rPr>
        <w:rFonts w:hint="default"/>
        <w:lang w:val="en-US" w:eastAsia="en-US" w:bidi="en-US"/>
      </w:rPr>
    </w:lvl>
    <w:lvl w:ilvl="4" w:tplc="8FE6DFF0">
      <w:numFmt w:val="bullet"/>
      <w:lvlText w:val="•"/>
      <w:lvlJc w:val="left"/>
      <w:pPr>
        <w:ind w:left="5257" w:hanging="272"/>
      </w:pPr>
      <w:rPr>
        <w:rFonts w:hint="default"/>
        <w:lang w:val="en-US" w:eastAsia="en-US" w:bidi="en-US"/>
      </w:rPr>
    </w:lvl>
    <w:lvl w:ilvl="5" w:tplc="92762F96">
      <w:numFmt w:val="bullet"/>
      <w:lvlText w:val="•"/>
      <w:lvlJc w:val="left"/>
      <w:pPr>
        <w:ind w:left="6162" w:hanging="272"/>
      </w:pPr>
      <w:rPr>
        <w:rFonts w:hint="default"/>
        <w:lang w:val="en-US" w:eastAsia="en-US" w:bidi="en-US"/>
      </w:rPr>
    </w:lvl>
    <w:lvl w:ilvl="6" w:tplc="0AC22850">
      <w:numFmt w:val="bullet"/>
      <w:lvlText w:val="•"/>
      <w:lvlJc w:val="left"/>
      <w:pPr>
        <w:ind w:left="7068" w:hanging="272"/>
      </w:pPr>
      <w:rPr>
        <w:rFonts w:hint="default"/>
        <w:lang w:val="en-US" w:eastAsia="en-US" w:bidi="en-US"/>
      </w:rPr>
    </w:lvl>
    <w:lvl w:ilvl="7" w:tplc="CEEE318C">
      <w:numFmt w:val="bullet"/>
      <w:lvlText w:val="•"/>
      <w:lvlJc w:val="left"/>
      <w:pPr>
        <w:ind w:left="7974" w:hanging="272"/>
      </w:pPr>
      <w:rPr>
        <w:rFonts w:hint="default"/>
        <w:lang w:val="en-US" w:eastAsia="en-US" w:bidi="en-US"/>
      </w:rPr>
    </w:lvl>
    <w:lvl w:ilvl="8" w:tplc="47141B32">
      <w:numFmt w:val="bullet"/>
      <w:lvlText w:val="•"/>
      <w:lvlJc w:val="left"/>
      <w:pPr>
        <w:ind w:left="8879" w:hanging="272"/>
      </w:pPr>
      <w:rPr>
        <w:rFonts w:hint="default"/>
        <w:lang w:val="en-US" w:eastAsia="en-US" w:bidi="en-US"/>
      </w:rPr>
    </w:lvl>
  </w:abstractNum>
  <w:abstractNum w:abstractNumId="36">
    <w:nsid w:val="54631754"/>
    <w:multiLevelType w:val="hybridMultilevel"/>
    <w:tmpl w:val="6792DE9C"/>
    <w:lvl w:ilvl="0" w:tplc="BC7A1F8A">
      <w:start w:val="1"/>
      <w:numFmt w:val="lowerLetter"/>
      <w:lvlText w:val="(%1)"/>
      <w:lvlJc w:val="left"/>
      <w:pPr>
        <w:ind w:left="1681" w:hanging="449"/>
        <w:jc w:val="right"/>
      </w:pPr>
      <w:rPr>
        <w:rFonts w:ascii="Arial" w:eastAsia="Arial" w:hAnsi="Arial" w:cs="Arial" w:hint="default"/>
        <w:w w:val="99"/>
        <w:sz w:val="20"/>
        <w:szCs w:val="20"/>
        <w:lang w:val="en-US" w:eastAsia="en-US" w:bidi="en-US"/>
      </w:rPr>
    </w:lvl>
    <w:lvl w:ilvl="1" w:tplc="4A08A03E">
      <w:start w:val="1"/>
      <w:numFmt w:val="decimal"/>
      <w:lvlText w:val="%2."/>
      <w:lvlJc w:val="left"/>
      <w:pPr>
        <w:ind w:left="1861" w:hanging="360"/>
      </w:pPr>
      <w:rPr>
        <w:rFonts w:ascii="Arial" w:eastAsia="Arial" w:hAnsi="Arial" w:cs="Arial" w:hint="default"/>
        <w:spacing w:val="-1"/>
        <w:w w:val="99"/>
        <w:sz w:val="20"/>
        <w:szCs w:val="20"/>
        <w:lang w:val="en-US" w:eastAsia="en-US" w:bidi="en-US"/>
      </w:rPr>
    </w:lvl>
    <w:lvl w:ilvl="2" w:tplc="D92E617A">
      <w:numFmt w:val="bullet"/>
      <w:lvlText w:val="•"/>
      <w:lvlJc w:val="left"/>
      <w:pPr>
        <w:ind w:left="2841" w:hanging="360"/>
      </w:pPr>
      <w:rPr>
        <w:rFonts w:hint="default"/>
        <w:lang w:val="en-US" w:eastAsia="en-US" w:bidi="en-US"/>
      </w:rPr>
    </w:lvl>
    <w:lvl w:ilvl="3" w:tplc="045CBDAA">
      <w:numFmt w:val="bullet"/>
      <w:lvlText w:val="•"/>
      <w:lvlJc w:val="left"/>
      <w:pPr>
        <w:ind w:left="3822" w:hanging="360"/>
      </w:pPr>
      <w:rPr>
        <w:rFonts w:hint="default"/>
        <w:lang w:val="en-US" w:eastAsia="en-US" w:bidi="en-US"/>
      </w:rPr>
    </w:lvl>
    <w:lvl w:ilvl="4" w:tplc="A99E802A">
      <w:numFmt w:val="bullet"/>
      <w:lvlText w:val="•"/>
      <w:lvlJc w:val="left"/>
      <w:pPr>
        <w:ind w:left="4803" w:hanging="360"/>
      </w:pPr>
      <w:rPr>
        <w:rFonts w:hint="default"/>
        <w:lang w:val="en-US" w:eastAsia="en-US" w:bidi="en-US"/>
      </w:rPr>
    </w:lvl>
    <w:lvl w:ilvl="5" w:tplc="2E62DF76">
      <w:numFmt w:val="bullet"/>
      <w:lvlText w:val="•"/>
      <w:lvlJc w:val="left"/>
      <w:pPr>
        <w:ind w:left="5784" w:hanging="360"/>
      </w:pPr>
      <w:rPr>
        <w:rFonts w:hint="default"/>
        <w:lang w:val="en-US" w:eastAsia="en-US" w:bidi="en-US"/>
      </w:rPr>
    </w:lvl>
    <w:lvl w:ilvl="6" w:tplc="72406CA6">
      <w:numFmt w:val="bullet"/>
      <w:lvlText w:val="•"/>
      <w:lvlJc w:val="left"/>
      <w:pPr>
        <w:ind w:left="6766" w:hanging="360"/>
      </w:pPr>
      <w:rPr>
        <w:rFonts w:hint="default"/>
        <w:lang w:val="en-US" w:eastAsia="en-US" w:bidi="en-US"/>
      </w:rPr>
    </w:lvl>
    <w:lvl w:ilvl="7" w:tplc="85F0DB62">
      <w:numFmt w:val="bullet"/>
      <w:lvlText w:val="•"/>
      <w:lvlJc w:val="left"/>
      <w:pPr>
        <w:ind w:left="7747" w:hanging="360"/>
      </w:pPr>
      <w:rPr>
        <w:rFonts w:hint="default"/>
        <w:lang w:val="en-US" w:eastAsia="en-US" w:bidi="en-US"/>
      </w:rPr>
    </w:lvl>
    <w:lvl w:ilvl="8" w:tplc="BFC45570">
      <w:numFmt w:val="bullet"/>
      <w:lvlText w:val="•"/>
      <w:lvlJc w:val="left"/>
      <w:pPr>
        <w:ind w:left="8728" w:hanging="360"/>
      </w:pPr>
      <w:rPr>
        <w:rFonts w:hint="default"/>
        <w:lang w:val="en-US" w:eastAsia="en-US" w:bidi="en-US"/>
      </w:rPr>
    </w:lvl>
  </w:abstractNum>
  <w:abstractNum w:abstractNumId="37">
    <w:nsid w:val="563912C5"/>
    <w:multiLevelType w:val="hybridMultilevel"/>
    <w:tmpl w:val="8416A29A"/>
    <w:lvl w:ilvl="0" w:tplc="89203766">
      <w:start w:val="1"/>
      <w:numFmt w:val="lowerLetter"/>
      <w:lvlText w:val="%1."/>
      <w:lvlJc w:val="left"/>
      <w:pPr>
        <w:ind w:left="1371" w:hanging="452"/>
      </w:pPr>
      <w:rPr>
        <w:rFonts w:ascii="Arial" w:eastAsia="Arial" w:hAnsi="Arial" w:cs="Arial" w:hint="default"/>
        <w:w w:val="96"/>
        <w:sz w:val="20"/>
        <w:szCs w:val="20"/>
        <w:lang w:val="en-US" w:eastAsia="en-US" w:bidi="en-US"/>
      </w:rPr>
    </w:lvl>
    <w:lvl w:ilvl="1" w:tplc="98E65818">
      <w:numFmt w:val="bullet"/>
      <w:lvlText w:val="•"/>
      <w:lvlJc w:val="left"/>
      <w:pPr>
        <w:ind w:left="2311" w:hanging="452"/>
      </w:pPr>
      <w:rPr>
        <w:rFonts w:hint="default"/>
        <w:lang w:val="en-US" w:eastAsia="en-US" w:bidi="en-US"/>
      </w:rPr>
    </w:lvl>
    <w:lvl w:ilvl="2" w:tplc="267A82A0">
      <w:numFmt w:val="bullet"/>
      <w:lvlText w:val="•"/>
      <w:lvlJc w:val="left"/>
      <w:pPr>
        <w:ind w:left="3242" w:hanging="452"/>
      </w:pPr>
      <w:rPr>
        <w:rFonts w:hint="default"/>
        <w:lang w:val="en-US" w:eastAsia="en-US" w:bidi="en-US"/>
      </w:rPr>
    </w:lvl>
    <w:lvl w:ilvl="3" w:tplc="BB4CE56C">
      <w:numFmt w:val="bullet"/>
      <w:lvlText w:val="•"/>
      <w:lvlJc w:val="left"/>
      <w:pPr>
        <w:ind w:left="4173" w:hanging="452"/>
      </w:pPr>
      <w:rPr>
        <w:rFonts w:hint="default"/>
        <w:lang w:val="en-US" w:eastAsia="en-US" w:bidi="en-US"/>
      </w:rPr>
    </w:lvl>
    <w:lvl w:ilvl="4" w:tplc="FFB803E6">
      <w:numFmt w:val="bullet"/>
      <w:lvlText w:val="•"/>
      <w:lvlJc w:val="left"/>
      <w:pPr>
        <w:ind w:left="5104" w:hanging="452"/>
      </w:pPr>
      <w:rPr>
        <w:rFonts w:hint="default"/>
        <w:lang w:val="en-US" w:eastAsia="en-US" w:bidi="en-US"/>
      </w:rPr>
    </w:lvl>
    <w:lvl w:ilvl="5" w:tplc="EA8CC4DA">
      <w:numFmt w:val="bullet"/>
      <w:lvlText w:val="•"/>
      <w:lvlJc w:val="left"/>
      <w:pPr>
        <w:ind w:left="6035" w:hanging="452"/>
      </w:pPr>
      <w:rPr>
        <w:rFonts w:hint="default"/>
        <w:lang w:val="en-US" w:eastAsia="en-US" w:bidi="en-US"/>
      </w:rPr>
    </w:lvl>
    <w:lvl w:ilvl="6" w:tplc="88A6B7AC">
      <w:numFmt w:val="bullet"/>
      <w:lvlText w:val="•"/>
      <w:lvlJc w:val="left"/>
      <w:pPr>
        <w:ind w:left="6966" w:hanging="452"/>
      </w:pPr>
      <w:rPr>
        <w:rFonts w:hint="default"/>
        <w:lang w:val="en-US" w:eastAsia="en-US" w:bidi="en-US"/>
      </w:rPr>
    </w:lvl>
    <w:lvl w:ilvl="7" w:tplc="EAF0A9D2">
      <w:numFmt w:val="bullet"/>
      <w:lvlText w:val="•"/>
      <w:lvlJc w:val="left"/>
      <w:pPr>
        <w:ind w:left="7897" w:hanging="452"/>
      </w:pPr>
      <w:rPr>
        <w:rFonts w:hint="default"/>
        <w:lang w:val="en-US" w:eastAsia="en-US" w:bidi="en-US"/>
      </w:rPr>
    </w:lvl>
    <w:lvl w:ilvl="8" w:tplc="4FA845D0">
      <w:numFmt w:val="bullet"/>
      <w:lvlText w:val="•"/>
      <w:lvlJc w:val="left"/>
      <w:pPr>
        <w:ind w:left="8828" w:hanging="452"/>
      </w:pPr>
      <w:rPr>
        <w:rFonts w:hint="default"/>
        <w:lang w:val="en-US" w:eastAsia="en-US" w:bidi="en-US"/>
      </w:rPr>
    </w:lvl>
  </w:abstractNum>
  <w:abstractNum w:abstractNumId="38">
    <w:nsid w:val="5AB818A5"/>
    <w:multiLevelType w:val="hybridMultilevel"/>
    <w:tmpl w:val="40DE0F62"/>
    <w:lvl w:ilvl="0" w:tplc="6688EFE0">
      <w:start w:val="1"/>
      <w:numFmt w:val="lowerLetter"/>
      <w:lvlText w:val="(%1)"/>
      <w:lvlJc w:val="left"/>
      <w:pPr>
        <w:ind w:left="2360" w:hanging="360"/>
      </w:pPr>
      <w:rPr>
        <w:rFonts w:ascii="Arial" w:eastAsia="Arial" w:hAnsi="Arial" w:cs="Arial" w:hint="default"/>
        <w:w w:val="96"/>
        <w:sz w:val="20"/>
        <w:szCs w:val="20"/>
        <w:lang w:val="en-US" w:eastAsia="en-US" w:bidi="en-US"/>
      </w:rPr>
    </w:lvl>
    <w:lvl w:ilvl="1" w:tplc="080AC5E8">
      <w:numFmt w:val="bullet"/>
      <w:lvlText w:val="•"/>
      <w:lvlJc w:val="left"/>
      <w:pPr>
        <w:ind w:left="3193" w:hanging="360"/>
      </w:pPr>
      <w:rPr>
        <w:rFonts w:hint="default"/>
        <w:lang w:val="en-US" w:eastAsia="en-US" w:bidi="en-US"/>
      </w:rPr>
    </w:lvl>
    <w:lvl w:ilvl="2" w:tplc="0636A484">
      <w:numFmt w:val="bullet"/>
      <w:lvlText w:val="•"/>
      <w:lvlJc w:val="left"/>
      <w:pPr>
        <w:ind w:left="4026" w:hanging="360"/>
      </w:pPr>
      <w:rPr>
        <w:rFonts w:hint="default"/>
        <w:lang w:val="en-US" w:eastAsia="en-US" w:bidi="en-US"/>
      </w:rPr>
    </w:lvl>
    <w:lvl w:ilvl="3" w:tplc="DC984C2A">
      <w:numFmt w:val="bullet"/>
      <w:lvlText w:val="•"/>
      <w:lvlJc w:val="left"/>
      <w:pPr>
        <w:ind w:left="4859" w:hanging="360"/>
      </w:pPr>
      <w:rPr>
        <w:rFonts w:hint="default"/>
        <w:lang w:val="en-US" w:eastAsia="en-US" w:bidi="en-US"/>
      </w:rPr>
    </w:lvl>
    <w:lvl w:ilvl="4" w:tplc="6116F29A">
      <w:numFmt w:val="bullet"/>
      <w:lvlText w:val="•"/>
      <w:lvlJc w:val="left"/>
      <w:pPr>
        <w:ind w:left="5692" w:hanging="360"/>
      </w:pPr>
      <w:rPr>
        <w:rFonts w:hint="default"/>
        <w:lang w:val="en-US" w:eastAsia="en-US" w:bidi="en-US"/>
      </w:rPr>
    </w:lvl>
    <w:lvl w:ilvl="5" w:tplc="BE2E9EE0">
      <w:numFmt w:val="bullet"/>
      <w:lvlText w:val="•"/>
      <w:lvlJc w:val="left"/>
      <w:pPr>
        <w:ind w:left="6525" w:hanging="360"/>
      </w:pPr>
      <w:rPr>
        <w:rFonts w:hint="default"/>
        <w:lang w:val="en-US" w:eastAsia="en-US" w:bidi="en-US"/>
      </w:rPr>
    </w:lvl>
    <w:lvl w:ilvl="6" w:tplc="89D8AFD6">
      <w:numFmt w:val="bullet"/>
      <w:lvlText w:val="•"/>
      <w:lvlJc w:val="left"/>
      <w:pPr>
        <w:ind w:left="7358" w:hanging="360"/>
      </w:pPr>
      <w:rPr>
        <w:rFonts w:hint="default"/>
        <w:lang w:val="en-US" w:eastAsia="en-US" w:bidi="en-US"/>
      </w:rPr>
    </w:lvl>
    <w:lvl w:ilvl="7" w:tplc="2F96D804">
      <w:numFmt w:val="bullet"/>
      <w:lvlText w:val="•"/>
      <w:lvlJc w:val="left"/>
      <w:pPr>
        <w:ind w:left="8191" w:hanging="360"/>
      </w:pPr>
      <w:rPr>
        <w:rFonts w:hint="default"/>
        <w:lang w:val="en-US" w:eastAsia="en-US" w:bidi="en-US"/>
      </w:rPr>
    </w:lvl>
    <w:lvl w:ilvl="8" w:tplc="8D26711C">
      <w:numFmt w:val="bullet"/>
      <w:lvlText w:val="•"/>
      <w:lvlJc w:val="left"/>
      <w:pPr>
        <w:ind w:left="9024" w:hanging="360"/>
      </w:pPr>
      <w:rPr>
        <w:rFonts w:hint="default"/>
        <w:lang w:val="en-US" w:eastAsia="en-US" w:bidi="en-US"/>
      </w:rPr>
    </w:lvl>
  </w:abstractNum>
  <w:abstractNum w:abstractNumId="39">
    <w:nsid w:val="5B1F07CC"/>
    <w:multiLevelType w:val="hybridMultilevel"/>
    <w:tmpl w:val="55A4DC50"/>
    <w:lvl w:ilvl="0" w:tplc="25221372">
      <w:start w:val="1"/>
      <w:numFmt w:val="upperLetter"/>
      <w:lvlText w:val="%1."/>
      <w:lvlJc w:val="left"/>
      <w:pPr>
        <w:ind w:left="2401" w:hanging="360"/>
      </w:pPr>
      <w:rPr>
        <w:rFonts w:hint="default"/>
      </w:rPr>
    </w:lvl>
    <w:lvl w:ilvl="1" w:tplc="04090019" w:tentative="1">
      <w:start w:val="1"/>
      <w:numFmt w:val="lowerLetter"/>
      <w:lvlText w:val="%2."/>
      <w:lvlJc w:val="left"/>
      <w:pPr>
        <w:ind w:left="3121" w:hanging="360"/>
      </w:pPr>
    </w:lvl>
    <w:lvl w:ilvl="2" w:tplc="0409001B" w:tentative="1">
      <w:start w:val="1"/>
      <w:numFmt w:val="lowerRoman"/>
      <w:lvlText w:val="%3."/>
      <w:lvlJc w:val="right"/>
      <w:pPr>
        <w:ind w:left="3841" w:hanging="180"/>
      </w:pPr>
    </w:lvl>
    <w:lvl w:ilvl="3" w:tplc="0409000F" w:tentative="1">
      <w:start w:val="1"/>
      <w:numFmt w:val="decimal"/>
      <w:lvlText w:val="%4."/>
      <w:lvlJc w:val="left"/>
      <w:pPr>
        <w:ind w:left="4561" w:hanging="360"/>
      </w:pPr>
    </w:lvl>
    <w:lvl w:ilvl="4" w:tplc="04090019" w:tentative="1">
      <w:start w:val="1"/>
      <w:numFmt w:val="lowerLetter"/>
      <w:lvlText w:val="%5."/>
      <w:lvlJc w:val="left"/>
      <w:pPr>
        <w:ind w:left="5281" w:hanging="360"/>
      </w:pPr>
    </w:lvl>
    <w:lvl w:ilvl="5" w:tplc="0409001B" w:tentative="1">
      <w:start w:val="1"/>
      <w:numFmt w:val="lowerRoman"/>
      <w:lvlText w:val="%6."/>
      <w:lvlJc w:val="right"/>
      <w:pPr>
        <w:ind w:left="6001" w:hanging="180"/>
      </w:pPr>
    </w:lvl>
    <w:lvl w:ilvl="6" w:tplc="0409000F" w:tentative="1">
      <w:start w:val="1"/>
      <w:numFmt w:val="decimal"/>
      <w:lvlText w:val="%7."/>
      <w:lvlJc w:val="left"/>
      <w:pPr>
        <w:ind w:left="6721" w:hanging="360"/>
      </w:pPr>
    </w:lvl>
    <w:lvl w:ilvl="7" w:tplc="04090019" w:tentative="1">
      <w:start w:val="1"/>
      <w:numFmt w:val="lowerLetter"/>
      <w:lvlText w:val="%8."/>
      <w:lvlJc w:val="left"/>
      <w:pPr>
        <w:ind w:left="7441" w:hanging="360"/>
      </w:pPr>
    </w:lvl>
    <w:lvl w:ilvl="8" w:tplc="0409001B" w:tentative="1">
      <w:start w:val="1"/>
      <w:numFmt w:val="lowerRoman"/>
      <w:lvlText w:val="%9."/>
      <w:lvlJc w:val="right"/>
      <w:pPr>
        <w:ind w:left="8161" w:hanging="180"/>
      </w:pPr>
    </w:lvl>
  </w:abstractNum>
  <w:abstractNum w:abstractNumId="40">
    <w:nsid w:val="5BC26B44"/>
    <w:multiLevelType w:val="hybridMultilevel"/>
    <w:tmpl w:val="A268DD6C"/>
    <w:lvl w:ilvl="0" w:tplc="F2C03080">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22B6FA54">
      <w:numFmt w:val="bullet"/>
      <w:lvlText w:val="•"/>
      <w:lvlJc w:val="left"/>
      <w:pPr>
        <w:ind w:left="2869" w:hanging="540"/>
      </w:pPr>
      <w:rPr>
        <w:rFonts w:hint="default"/>
        <w:lang w:val="en-US" w:eastAsia="en-US" w:bidi="en-US"/>
      </w:rPr>
    </w:lvl>
    <w:lvl w:ilvl="2" w:tplc="024C75DC">
      <w:numFmt w:val="bullet"/>
      <w:lvlText w:val="•"/>
      <w:lvlJc w:val="left"/>
      <w:pPr>
        <w:ind w:left="3738" w:hanging="540"/>
      </w:pPr>
      <w:rPr>
        <w:rFonts w:hint="default"/>
        <w:lang w:val="en-US" w:eastAsia="en-US" w:bidi="en-US"/>
      </w:rPr>
    </w:lvl>
    <w:lvl w:ilvl="3" w:tplc="DEA29370">
      <w:numFmt w:val="bullet"/>
      <w:lvlText w:val="•"/>
      <w:lvlJc w:val="left"/>
      <w:pPr>
        <w:ind w:left="4607" w:hanging="540"/>
      </w:pPr>
      <w:rPr>
        <w:rFonts w:hint="default"/>
        <w:lang w:val="en-US" w:eastAsia="en-US" w:bidi="en-US"/>
      </w:rPr>
    </w:lvl>
    <w:lvl w:ilvl="4" w:tplc="A224D50A">
      <w:numFmt w:val="bullet"/>
      <w:lvlText w:val="•"/>
      <w:lvlJc w:val="left"/>
      <w:pPr>
        <w:ind w:left="5476" w:hanging="540"/>
      </w:pPr>
      <w:rPr>
        <w:rFonts w:hint="default"/>
        <w:lang w:val="en-US" w:eastAsia="en-US" w:bidi="en-US"/>
      </w:rPr>
    </w:lvl>
    <w:lvl w:ilvl="5" w:tplc="6E623FB4">
      <w:numFmt w:val="bullet"/>
      <w:lvlText w:val="•"/>
      <w:lvlJc w:val="left"/>
      <w:pPr>
        <w:ind w:left="6345" w:hanging="540"/>
      </w:pPr>
      <w:rPr>
        <w:rFonts w:hint="default"/>
        <w:lang w:val="en-US" w:eastAsia="en-US" w:bidi="en-US"/>
      </w:rPr>
    </w:lvl>
    <w:lvl w:ilvl="6" w:tplc="6C627FBA">
      <w:numFmt w:val="bullet"/>
      <w:lvlText w:val="•"/>
      <w:lvlJc w:val="left"/>
      <w:pPr>
        <w:ind w:left="7214" w:hanging="540"/>
      </w:pPr>
      <w:rPr>
        <w:rFonts w:hint="default"/>
        <w:lang w:val="en-US" w:eastAsia="en-US" w:bidi="en-US"/>
      </w:rPr>
    </w:lvl>
    <w:lvl w:ilvl="7" w:tplc="6E08B9D2">
      <w:numFmt w:val="bullet"/>
      <w:lvlText w:val="•"/>
      <w:lvlJc w:val="left"/>
      <w:pPr>
        <w:ind w:left="8083" w:hanging="540"/>
      </w:pPr>
      <w:rPr>
        <w:rFonts w:hint="default"/>
        <w:lang w:val="en-US" w:eastAsia="en-US" w:bidi="en-US"/>
      </w:rPr>
    </w:lvl>
    <w:lvl w:ilvl="8" w:tplc="44F82CFE">
      <w:numFmt w:val="bullet"/>
      <w:lvlText w:val="•"/>
      <w:lvlJc w:val="left"/>
      <w:pPr>
        <w:ind w:left="8952" w:hanging="540"/>
      </w:pPr>
      <w:rPr>
        <w:rFonts w:hint="default"/>
        <w:lang w:val="en-US" w:eastAsia="en-US" w:bidi="en-US"/>
      </w:rPr>
    </w:lvl>
  </w:abstractNum>
  <w:abstractNum w:abstractNumId="41">
    <w:nsid w:val="5EB22AD1"/>
    <w:multiLevelType w:val="multilevel"/>
    <w:tmpl w:val="BFBC086C"/>
    <w:lvl w:ilvl="0">
      <w:start w:val="3"/>
      <w:numFmt w:val="decimal"/>
      <w:lvlText w:val="%1"/>
      <w:lvlJc w:val="left"/>
      <w:pPr>
        <w:ind w:left="1551" w:hanging="632"/>
      </w:pPr>
      <w:rPr>
        <w:rFonts w:hint="default"/>
        <w:lang w:val="en-US" w:eastAsia="en-US" w:bidi="en-US"/>
      </w:rPr>
    </w:lvl>
    <w:lvl w:ilvl="1">
      <w:start w:val="9"/>
      <w:numFmt w:val="decimal"/>
      <w:lvlText w:val="%1.%2"/>
      <w:lvlJc w:val="left"/>
      <w:pPr>
        <w:ind w:left="1551" w:hanging="632"/>
      </w:pPr>
      <w:rPr>
        <w:rFonts w:ascii="Arial" w:eastAsia="Arial" w:hAnsi="Arial" w:cs="Arial" w:hint="default"/>
        <w:b/>
        <w:bCs/>
        <w:w w:val="97"/>
        <w:sz w:val="20"/>
        <w:szCs w:val="20"/>
        <w:lang w:val="en-US" w:eastAsia="en-US" w:bidi="en-US"/>
      </w:rPr>
    </w:lvl>
    <w:lvl w:ilvl="2">
      <w:numFmt w:val="bullet"/>
      <w:lvlText w:val=""/>
      <w:lvlJc w:val="left"/>
      <w:pPr>
        <w:ind w:left="1551" w:hanging="272"/>
      </w:pPr>
      <w:rPr>
        <w:rFonts w:ascii="Symbol" w:eastAsia="Symbol" w:hAnsi="Symbol" w:cs="Symbol" w:hint="default"/>
        <w:w w:val="97"/>
        <w:sz w:val="20"/>
        <w:szCs w:val="20"/>
        <w:lang w:val="en-US" w:eastAsia="en-US" w:bidi="en-US"/>
      </w:rPr>
    </w:lvl>
    <w:lvl w:ilvl="3">
      <w:numFmt w:val="bullet"/>
      <w:lvlText w:val=""/>
      <w:lvlJc w:val="left"/>
      <w:pPr>
        <w:ind w:left="1911" w:hanging="360"/>
      </w:pPr>
      <w:rPr>
        <w:rFonts w:ascii="Wingdings" w:eastAsia="Wingdings" w:hAnsi="Wingdings" w:cs="Wingdings" w:hint="default"/>
        <w:w w:val="98"/>
        <w:sz w:val="20"/>
        <w:szCs w:val="20"/>
        <w:lang w:val="en-US" w:eastAsia="en-US" w:bidi="en-US"/>
      </w:rPr>
    </w:lvl>
    <w:lvl w:ilvl="4">
      <w:numFmt w:val="bullet"/>
      <w:lvlText w:val="•"/>
      <w:lvlJc w:val="left"/>
      <w:pPr>
        <w:ind w:left="4843" w:hanging="360"/>
      </w:pPr>
      <w:rPr>
        <w:rFonts w:hint="default"/>
        <w:lang w:val="en-US" w:eastAsia="en-US" w:bidi="en-US"/>
      </w:rPr>
    </w:lvl>
    <w:lvl w:ilvl="5">
      <w:numFmt w:val="bullet"/>
      <w:lvlText w:val="•"/>
      <w:lvlJc w:val="left"/>
      <w:pPr>
        <w:ind w:left="5818" w:hanging="360"/>
      </w:pPr>
      <w:rPr>
        <w:rFonts w:hint="default"/>
        <w:lang w:val="en-US" w:eastAsia="en-US" w:bidi="en-US"/>
      </w:rPr>
    </w:lvl>
    <w:lvl w:ilvl="6">
      <w:numFmt w:val="bullet"/>
      <w:lvlText w:val="•"/>
      <w:lvlJc w:val="left"/>
      <w:pPr>
        <w:ind w:left="6792" w:hanging="360"/>
      </w:pPr>
      <w:rPr>
        <w:rFonts w:hint="default"/>
        <w:lang w:val="en-US" w:eastAsia="en-US" w:bidi="en-US"/>
      </w:rPr>
    </w:lvl>
    <w:lvl w:ilvl="7">
      <w:numFmt w:val="bullet"/>
      <w:lvlText w:val="•"/>
      <w:lvlJc w:val="left"/>
      <w:pPr>
        <w:ind w:left="7767" w:hanging="360"/>
      </w:pPr>
      <w:rPr>
        <w:rFonts w:hint="default"/>
        <w:lang w:val="en-US" w:eastAsia="en-US" w:bidi="en-US"/>
      </w:rPr>
    </w:lvl>
    <w:lvl w:ilvl="8">
      <w:numFmt w:val="bullet"/>
      <w:lvlText w:val="•"/>
      <w:lvlJc w:val="left"/>
      <w:pPr>
        <w:ind w:left="8742" w:hanging="360"/>
      </w:pPr>
      <w:rPr>
        <w:rFonts w:hint="default"/>
        <w:lang w:val="en-US" w:eastAsia="en-US" w:bidi="en-US"/>
      </w:rPr>
    </w:lvl>
  </w:abstractNum>
  <w:abstractNum w:abstractNumId="42">
    <w:nsid w:val="61A8368A"/>
    <w:multiLevelType w:val="multilevel"/>
    <w:tmpl w:val="76F2B6FC"/>
    <w:lvl w:ilvl="0">
      <w:start w:val="1"/>
      <w:numFmt w:val="decimal"/>
      <w:lvlText w:val="%1."/>
      <w:lvlJc w:val="left"/>
      <w:pPr>
        <w:ind w:left="1712" w:hanging="432"/>
        <w:jc w:val="right"/>
      </w:pPr>
      <w:rPr>
        <w:rFonts w:ascii="Arial" w:eastAsia="Arial" w:hAnsi="Arial" w:cs="Arial" w:hint="default"/>
        <w:b/>
        <w:bCs/>
        <w:w w:val="97"/>
        <w:sz w:val="20"/>
        <w:szCs w:val="20"/>
        <w:lang w:val="en-US" w:eastAsia="en-US" w:bidi="en-US"/>
      </w:rPr>
    </w:lvl>
    <w:lvl w:ilvl="1">
      <w:start w:val="1"/>
      <w:numFmt w:val="decimal"/>
      <w:lvlText w:val="%1.%2"/>
      <w:lvlJc w:val="left"/>
      <w:pPr>
        <w:ind w:left="1640" w:hanging="720"/>
      </w:pPr>
      <w:rPr>
        <w:rFonts w:hint="default"/>
        <w:b/>
        <w:bCs/>
        <w:w w:val="97"/>
        <w:lang w:val="en-US" w:eastAsia="en-US" w:bidi="en-US"/>
      </w:rPr>
    </w:lvl>
    <w:lvl w:ilvl="2">
      <w:start w:val="1"/>
      <w:numFmt w:val="decimal"/>
      <w:lvlText w:val="%1.%2.%3"/>
      <w:lvlJc w:val="left"/>
      <w:pPr>
        <w:ind w:left="1640" w:hanging="720"/>
      </w:pPr>
      <w:rPr>
        <w:rFonts w:hint="default"/>
        <w:w w:val="96"/>
        <w:lang w:val="en-US" w:eastAsia="en-US" w:bidi="en-US"/>
      </w:rPr>
    </w:lvl>
    <w:lvl w:ilvl="3">
      <w:start w:val="1"/>
      <w:numFmt w:val="lowerRoman"/>
      <w:lvlText w:val="%4."/>
      <w:lvlJc w:val="left"/>
      <w:pPr>
        <w:ind w:left="2581" w:hanging="720"/>
      </w:pPr>
      <w:rPr>
        <w:rFonts w:ascii="Arial" w:eastAsia="Arial" w:hAnsi="Arial" w:cs="Arial" w:hint="default"/>
        <w:i/>
        <w:spacing w:val="-3"/>
        <w:w w:val="96"/>
        <w:sz w:val="20"/>
        <w:szCs w:val="20"/>
        <w:lang w:val="en-US" w:eastAsia="en-US" w:bidi="en-US"/>
      </w:rPr>
    </w:lvl>
    <w:lvl w:ilvl="4">
      <w:numFmt w:val="bullet"/>
      <w:lvlText w:val="•"/>
      <w:lvlJc w:val="left"/>
      <w:pPr>
        <w:ind w:left="2000" w:hanging="720"/>
      </w:pPr>
      <w:rPr>
        <w:rFonts w:hint="default"/>
        <w:lang w:val="en-US" w:eastAsia="en-US" w:bidi="en-US"/>
      </w:rPr>
    </w:lvl>
    <w:lvl w:ilvl="5">
      <w:numFmt w:val="bullet"/>
      <w:lvlText w:val="•"/>
      <w:lvlJc w:val="left"/>
      <w:pPr>
        <w:ind w:left="2040" w:hanging="720"/>
      </w:pPr>
      <w:rPr>
        <w:rFonts w:hint="default"/>
        <w:lang w:val="en-US" w:eastAsia="en-US" w:bidi="en-US"/>
      </w:rPr>
    </w:lvl>
    <w:lvl w:ilvl="6">
      <w:numFmt w:val="bullet"/>
      <w:lvlText w:val="•"/>
      <w:lvlJc w:val="left"/>
      <w:pPr>
        <w:ind w:left="2260" w:hanging="720"/>
      </w:pPr>
      <w:rPr>
        <w:rFonts w:hint="default"/>
        <w:lang w:val="en-US" w:eastAsia="en-US" w:bidi="en-US"/>
      </w:rPr>
    </w:lvl>
    <w:lvl w:ilvl="7">
      <w:numFmt w:val="bullet"/>
      <w:lvlText w:val="•"/>
      <w:lvlJc w:val="left"/>
      <w:pPr>
        <w:ind w:left="2580" w:hanging="720"/>
      </w:pPr>
      <w:rPr>
        <w:rFonts w:hint="default"/>
        <w:lang w:val="en-US" w:eastAsia="en-US" w:bidi="en-US"/>
      </w:rPr>
    </w:lvl>
    <w:lvl w:ilvl="8">
      <w:numFmt w:val="bullet"/>
      <w:lvlText w:val="•"/>
      <w:lvlJc w:val="left"/>
      <w:pPr>
        <w:ind w:left="2820" w:hanging="720"/>
      </w:pPr>
      <w:rPr>
        <w:rFonts w:hint="default"/>
        <w:lang w:val="en-US" w:eastAsia="en-US" w:bidi="en-US"/>
      </w:rPr>
    </w:lvl>
  </w:abstractNum>
  <w:abstractNum w:abstractNumId="43">
    <w:nsid w:val="6266350E"/>
    <w:multiLevelType w:val="hybridMultilevel"/>
    <w:tmpl w:val="40D4851E"/>
    <w:lvl w:ilvl="0" w:tplc="3790EB66">
      <w:start w:val="1"/>
      <w:numFmt w:val="lowerLetter"/>
      <w:lvlText w:val="%1."/>
      <w:lvlJc w:val="left"/>
      <w:pPr>
        <w:ind w:left="3082" w:hanging="360"/>
      </w:pPr>
      <w:rPr>
        <w:rFonts w:ascii="Arial" w:eastAsia="Arial" w:hAnsi="Arial" w:cs="Arial" w:hint="default"/>
        <w:w w:val="96"/>
        <w:sz w:val="20"/>
        <w:szCs w:val="20"/>
        <w:lang w:val="en-US" w:eastAsia="en-US" w:bidi="en-US"/>
      </w:rPr>
    </w:lvl>
    <w:lvl w:ilvl="1" w:tplc="67C8EE58">
      <w:numFmt w:val="bullet"/>
      <w:lvlText w:val="•"/>
      <w:lvlJc w:val="left"/>
      <w:pPr>
        <w:ind w:left="3841" w:hanging="360"/>
      </w:pPr>
      <w:rPr>
        <w:rFonts w:hint="default"/>
        <w:lang w:val="en-US" w:eastAsia="en-US" w:bidi="en-US"/>
      </w:rPr>
    </w:lvl>
    <w:lvl w:ilvl="2" w:tplc="2EAE1E3E">
      <w:numFmt w:val="bullet"/>
      <w:lvlText w:val="•"/>
      <w:lvlJc w:val="left"/>
      <w:pPr>
        <w:ind w:left="4602" w:hanging="360"/>
      </w:pPr>
      <w:rPr>
        <w:rFonts w:hint="default"/>
        <w:lang w:val="en-US" w:eastAsia="en-US" w:bidi="en-US"/>
      </w:rPr>
    </w:lvl>
    <w:lvl w:ilvl="3" w:tplc="A9386ACA">
      <w:numFmt w:val="bullet"/>
      <w:lvlText w:val="•"/>
      <w:lvlJc w:val="left"/>
      <w:pPr>
        <w:ind w:left="5363" w:hanging="360"/>
      </w:pPr>
      <w:rPr>
        <w:rFonts w:hint="default"/>
        <w:lang w:val="en-US" w:eastAsia="en-US" w:bidi="en-US"/>
      </w:rPr>
    </w:lvl>
    <w:lvl w:ilvl="4" w:tplc="458460E4">
      <w:numFmt w:val="bullet"/>
      <w:lvlText w:val="•"/>
      <w:lvlJc w:val="left"/>
      <w:pPr>
        <w:ind w:left="6124" w:hanging="360"/>
      </w:pPr>
      <w:rPr>
        <w:rFonts w:hint="default"/>
        <w:lang w:val="en-US" w:eastAsia="en-US" w:bidi="en-US"/>
      </w:rPr>
    </w:lvl>
    <w:lvl w:ilvl="5" w:tplc="8B583C5C">
      <w:numFmt w:val="bullet"/>
      <w:lvlText w:val="•"/>
      <w:lvlJc w:val="left"/>
      <w:pPr>
        <w:ind w:left="6885" w:hanging="360"/>
      </w:pPr>
      <w:rPr>
        <w:rFonts w:hint="default"/>
        <w:lang w:val="en-US" w:eastAsia="en-US" w:bidi="en-US"/>
      </w:rPr>
    </w:lvl>
    <w:lvl w:ilvl="6" w:tplc="253015EC">
      <w:numFmt w:val="bullet"/>
      <w:lvlText w:val="•"/>
      <w:lvlJc w:val="left"/>
      <w:pPr>
        <w:ind w:left="7646" w:hanging="360"/>
      </w:pPr>
      <w:rPr>
        <w:rFonts w:hint="default"/>
        <w:lang w:val="en-US" w:eastAsia="en-US" w:bidi="en-US"/>
      </w:rPr>
    </w:lvl>
    <w:lvl w:ilvl="7" w:tplc="505C2A42">
      <w:numFmt w:val="bullet"/>
      <w:lvlText w:val="•"/>
      <w:lvlJc w:val="left"/>
      <w:pPr>
        <w:ind w:left="8407" w:hanging="360"/>
      </w:pPr>
      <w:rPr>
        <w:rFonts w:hint="default"/>
        <w:lang w:val="en-US" w:eastAsia="en-US" w:bidi="en-US"/>
      </w:rPr>
    </w:lvl>
    <w:lvl w:ilvl="8" w:tplc="7EFAAA4A">
      <w:numFmt w:val="bullet"/>
      <w:lvlText w:val="•"/>
      <w:lvlJc w:val="left"/>
      <w:pPr>
        <w:ind w:left="9168" w:hanging="360"/>
      </w:pPr>
      <w:rPr>
        <w:rFonts w:hint="default"/>
        <w:lang w:val="en-US" w:eastAsia="en-US" w:bidi="en-US"/>
      </w:rPr>
    </w:lvl>
  </w:abstractNum>
  <w:abstractNum w:abstractNumId="44">
    <w:nsid w:val="67795A50"/>
    <w:multiLevelType w:val="hybridMultilevel"/>
    <w:tmpl w:val="D00C1A96"/>
    <w:lvl w:ilvl="0" w:tplc="50F892E2">
      <w:start w:val="1"/>
      <w:numFmt w:val="lowerLetter"/>
      <w:lvlText w:val="(%1)"/>
      <w:lvlJc w:val="left"/>
      <w:pPr>
        <w:ind w:left="1551" w:hanging="540"/>
      </w:pPr>
      <w:rPr>
        <w:rFonts w:ascii="Arial" w:eastAsia="Arial" w:hAnsi="Arial" w:cs="Arial" w:hint="default"/>
        <w:w w:val="96"/>
        <w:sz w:val="20"/>
        <w:szCs w:val="20"/>
        <w:lang w:val="en-US" w:eastAsia="en-US" w:bidi="en-US"/>
      </w:rPr>
    </w:lvl>
    <w:lvl w:ilvl="1" w:tplc="709ECA52">
      <w:numFmt w:val="bullet"/>
      <w:lvlText w:val="•"/>
      <w:lvlJc w:val="left"/>
      <w:pPr>
        <w:ind w:left="2473" w:hanging="540"/>
      </w:pPr>
      <w:rPr>
        <w:rFonts w:hint="default"/>
        <w:lang w:val="en-US" w:eastAsia="en-US" w:bidi="en-US"/>
      </w:rPr>
    </w:lvl>
    <w:lvl w:ilvl="2" w:tplc="49D6207E">
      <w:numFmt w:val="bullet"/>
      <w:lvlText w:val="•"/>
      <w:lvlJc w:val="left"/>
      <w:pPr>
        <w:ind w:left="3386" w:hanging="540"/>
      </w:pPr>
      <w:rPr>
        <w:rFonts w:hint="default"/>
        <w:lang w:val="en-US" w:eastAsia="en-US" w:bidi="en-US"/>
      </w:rPr>
    </w:lvl>
    <w:lvl w:ilvl="3" w:tplc="E6EECA6C">
      <w:numFmt w:val="bullet"/>
      <w:lvlText w:val="•"/>
      <w:lvlJc w:val="left"/>
      <w:pPr>
        <w:ind w:left="4299" w:hanging="540"/>
      </w:pPr>
      <w:rPr>
        <w:rFonts w:hint="default"/>
        <w:lang w:val="en-US" w:eastAsia="en-US" w:bidi="en-US"/>
      </w:rPr>
    </w:lvl>
    <w:lvl w:ilvl="4" w:tplc="0A9676DA">
      <w:numFmt w:val="bullet"/>
      <w:lvlText w:val="•"/>
      <w:lvlJc w:val="left"/>
      <w:pPr>
        <w:ind w:left="5212" w:hanging="540"/>
      </w:pPr>
      <w:rPr>
        <w:rFonts w:hint="default"/>
        <w:lang w:val="en-US" w:eastAsia="en-US" w:bidi="en-US"/>
      </w:rPr>
    </w:lvl>
    <w:lvl w:ilvl="5" w:tplc="069AB49C">
      <w:numFmt w:val="bullet"/>
      <w:lvlText w:val="•"/>
      <w:lvlJc w:val="left"/>
      <w:pPr>
        <w:ind w:left="6125" w:hanging="540"/>
      </w:pPr>
      <w:rPr>
        <w:rFonts w:hint="default"/>
        <w:lang w:val="en-US" w:eastAsia="en-US" w:bidi="en-US"/>
      </w:rPr>
    </w:lvl>
    <w:lvl w:ilvl="6" w:tplc="61A8009E">
      <w:numFmt w:val="bullet"/>
      <w:lvlText w:val="•"/>
      <w:lvlJc w:val="left"/>
      <w:pPr>
        <w:ind w:left="7038" w:hanging="540"/>
      </w:pPr>
      <w:rPr>
        <w:rFonts w:hint="default"/>
        <w:lang w:val="en-US" w:eastAsia="en-US" w:bidi="en-US"/>
      </w:rPr>
    </w:lvl>
    <w:lvl w:ilvl="7" w:tplc="288A80C2">
      <w:numFmt w:val="bullet"/>
      <w:lvlText w:val="•"/>
      <w:lvlJc w:val="left"/>
      <w:pPr>
        <w:ind w:left="7951" w:hanging="540"/>
      </w:pPr>
      <w:rPr>
        <w:rFonts w:hint="default"/>
        <w:lang w:val="en-US" w:eastAsia="en-US" w:bidi="en-US"/>
      </w:rPr>
    </w:lvl>
    <w:lvl w:ilvl="8" w:tplc="3466B3FE">
      <w:numFmt w:val="bullet"/>
      <w:lvlText w:val="•"/>
      <w:lvlJc w:val="left"/>
      <w:pPr>
        <w:ind w:left="8864" w:hanging="540"/>
      </w:pPr>
      <w:rPr>
        <w:rFonts w:hint="default"/>
        <w:lang w:val="en-US" w:eastAsia="en-US" w:bidi="en-US"/>
      </w:rPr>
    </w:lvl>
  </w:abstractNum>
  <w:abstractNum w:abstractNumId="45">
    <w:nsid w:val="67D526FD"/>
    <w:multiLevelType w:val="hybridMultilevel"/>
    <w:tmpl w:val="DBFE53EE"/>
    <w:lvl w:ilvl="0" w:tplc="399A5C3A">
      <w:start w:val="1"/>
      <w:numFmt w:val="lowerLetter"/>
      <w:lvlText w:val="(%1)"/>
      <w:lvlJc w:val="left"/>
      <w:pPr>
        <w:ind w:left="1460" w:hanging="540"/>
      </w:pPr>
      <w:rPr>
        <w:rFonts w:ascii="Arial" w:eastAsia="Arial" w:hAnsi="Arial" w:cs="Arial" w:hint="default"/>
        <w:w w:val="96"/>
        <w:sz w:val="20"/>
        <w:szCs w:val="20"/>
        <w:lang w:val="en-US" w:eastAsia="en-US" w:bidi="en-US"/>
      </w:rPr>
    </w:lvl>
    <w:lvl w:ilvl="1" w:tplc="7ACED258">
      <w:numFmt w:val="bullet"/>
      <w:lvlText w:val="•"/>
      <w:lvlJc w:val="left"/>
      <w:pPr>
        <w:ind w:left="2383" w:hanging="540"/>
      </w:pPr>
      <w:rPr>
        <w:rFonts w:hint="default"/>
        <w:lang w:val="en-US" w:eastAsia="en-US" w:bidi="en-US"/>
      </w:rPr>
    </w:lvl>
    <w:lvl w:ilvl="2" w:tplc="FAAAE798">
      <w:numFmt w:val="bullet"/>
      <w:lvlText w:val="•"/>
      <w:lvlJc w:val="left"/>
      <w:pPr>
        <w:ind w:left="3306" w:hanging="540"/>
      </w:pPr>
      <w:rPr>
        <w:rFonts w:hint="default"/>
        <w:lang w:val="en-US" w:eastAsia="en-US" w:bidi="en-US"/>
      </w:rPr>
    </w:lvl>
    <w:lvl w:ilvl="3" w:tplc="36A4B96A">
      <w:numFmt w:val="bullet"/>
      <w:lvlText w:val="•"/>
      <w:lvlJc w:val="left"/>
      <w:pPr>
        <w:ind w:left="4229" w:hanging="540"/>
      </w:pPr>
      <w:rPr>
        <w:rFonts w:hint="default"/>
        <w:lang w:val="en-US" w:eastAsia="en-US" w:bidi="en-US"/>
      </w:rPr>
    </w:lvl>
    <w:lvl w:ilvl="4" w:tplc="CDD4B682">
      <w:numFmt w:val="bullet"/>
      <w:lvlText w:val="•"/>
      <w:lvlJc w:val="left"/>
      <w:pPr>
        <w:ind w:left="5152" w:hanging="540"/>
      </w:pPr>
      <w:rPr>
        <w:rFonts w:hint="default"/>
        <w:lang w:val="en-US" w:eastAsia="en-US" w:bidi="en-US"/>
      </w:rPr>
    </w:lvl>
    <w:lvl w:ilvl="5" w:tplc="2C18DF5C">
      <w:numFmt w:val="bullet"/>
      <w:lvlText w:val="•"/>
      <w:lvlJc w:val="left"/>
      <w:pPr>
        <w:ind w:left="6075" w:hanging="540"/>
      </w:pPr>
      <w:rPr>
        <w:rFonts w:hint="default"/>
        <w:lang w:val="en-US" w:eastAsia="en-US" w:bidi="en-US"/>
      </w:rPr>
    </w:lvl>
    <w:lvl w:ilvl="6" w:tplc="79FE9DD8">
      <w:numFmt w:val="bullet"/>
      <w:lvlText w:val="•"/>
      <w:lvlJc w:val="left"/>
      <w:pPr>
        <w:ind w:left="6998" w:hanging="540"/>
      </w:pPr>
      <w:rPr>
        <w:rFonts w:hint="default"/>
        <w:lang w:val="en-US" w:eastAsia="en-US" w:bidi="en-US"/>
      </w:rPr>
    </w:lvl>
    <w:lvl w:ilvl="7" w:tplc="F22C3F76">
      <w:numFmt w:val="bullet"/>
      <w:lvlText w:val="•"/>
      <w:lvlJc w:val="left"/>
      <w:pPr>
        <w:ind w:left="7921" w:hanging="540"/>
      </w:pPr>
      <w:rPr>
        <w:rFonts w:hint="default"/>
        <w:lang w:val="en-US" w:eastAsia="en-US" w:bidi="en-US"/>
      </w:rPr>
    </w:lvl>
    <w:lvl w:ilvl="8" w:tplc="0C30D924">
      <w:numFmt w:val="bullet"/>
      <w:lvlText w:val="•"/>
      <w:lvlJc w:val="left"/>
      <w:pPr>
        <w:ind w:left="8844" w:hanging="540"/>
      </w:pPr>
      <w:rPr>
        <w:rFonts w:hint="default"/>
        <w:lang w:val="en-US" w:eastAsia="en-US" w:bidi="en-US"/>
      </w:rPr>
    </w:lvl>
  </w:abstractNum>
  <w:abstractNum w:abstractNumId="46">
    <w:nsid w:val="69A77BA3"/>
    <w:multiLevelType w:val="hybridMultilevel"/>
    <w:tmpl w:val="051074B2"/>
    <w:lvl w:ilvl="0" w:tplc="91D0637C">
      <w:start w:val="1"/>
      <w:numFmt w:val="upp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47">
    <w:nsid w:val="69AE0C89"/>
    <w:multiLevelType w:val="multilevel"/>
    <w:tmpl w:val="56F8CD52"/>
    <w:lvl w:ilvl="0">
      <w:start w:val="4"/>
      <w:numFmt w:val="decimal"/>
      <w:lvlText w:val="%1"/>
      <w:lvlJc w:val="left"/>
      <w:pPr>
        <w:ind w:left="2000" w:hanging="720"/>
      </w:pPr>
      <w:rPr>
        <w:rFonts w:hint="default"/>
        <w:lang w:val="en-US" w:eastAsia="en-US" w:bidi="en-US"/>
      </w:rPr>
    </w:lvl>
    <w:lvl w:ilvl="1">
      <w:start w:val="4"/>
      <w:numFmt w:val="decimal"/>
      <w:lvlText w:val="%1.%2"/>
      <w:lvlJc w:val="left"/>
      <w:pPr>
        <w:ind w:left="2000" w:hanging="720"/>
      </w:pPr>
      <w:rPr>
        <w:rFonts w:hint="default"/>
        <w:lang w:val="en-US" w:eastAsia="en-US" w:bidi="en-US"/>
      </w:rPr>
    </w:lvl>
    <w:lvl w:ilvl="2">
      <w:start w:val="2"/>
      <w:numFmt w:val="decimal"/>
      <w:lvlText w:val="%1.%2.%3"/>
      <w:lvlJc w:val="left"/>
      <w:pPr>
        <w:ind w:left="2000" w:hanging="720"/>
      </w:pPr>
      <w:rPr>
        <w:rFonts w:ascii="Arial" w:eastAsia="Arial" w:hAnsi="Arial" w:cs="Arial" w:hint="default"/>
        <w:b/>
        <w:bCs/>
        <w:w w:val="97"/>
        <w:sz w:val="20"/>
        <w:szCs w:val="20"/>
        <w:lang w:val="en-US" w:eastAsia="en-US" w:bidi="en-US"/>
      </w:rPr>
    </w:lvl>
    <w:lvl w:ilvl="3">
      <w:numFmt w:val="bullet"/>
      <w:lvlText w:val="•"/>
      <w:lvlJc w:val="left"/>
      <w:pPr>
        <w:ind w:left="4607" w:hanging="720"/>
      </w:pPr>
      <w:rPr>
        <w:rFonts w:hint="default"/>
        <w:lang w:val="en-US" w:eastAsia="en-US" w:bidi="en-US"/>
      </w:rPr>
    </w:lvl>
    <w:lvl w:ilvl="4">
      <w:numFmt w:val="bullet"/>
      <w:lvlText w:val="•"/>
      <w:lvlJc w:val="left"/>
      <w:pPr>
        <w:ind w:left="5476" w:hanging="720"/>
      </w:pPr>
      <w:rPr>
        <w:rFonts w:hint="default"/>
        <w:lang w:val="en-US" w:eastAsia="en-US" w:bidi="en-US"/>
      </w:rPr>
    </w:lvl>
    <w:lvl w:ilvl="5">
      <w:numFmt w:val="bullet"/>
      <w:lvlText w:val="•"/>
      <w:lvlJc w:val="left"/>
      <w:pPr>
        <w:ind w:left="6345" w:hanging="720"/>
      </w:pPr>
      <w:rPr>
        <w:rFonts w:hint="default"/>
        <w:lang w:val="en-US" w:eastAsia="en-US" w:bidi="en-US"/>
      </w:rPr>
    </w:lvl>
    <w:lvl w:ilvl="6">
      <w:numFmt w:val="bullet"/>
      <w:lvlText w:val="•"/>
      <w:lvlJc w:val="left"/>
      <w:pPr>
        <w:ind w:left="7214" w:hanging="720"/>
      </w:pPr>
      <w:rPr>
        <w:rFonts w:hint="default"/>
        <w:lang w:val="en-US" w:eastAsia="en-US" w:bidi="en-US"/>
      </w:rPr>
    </w:lvl>
    <w:lvl w:ilvl="7">
      <w:numFmt w:val="bullet"/>
      <w:lvlText w:val="•"/>
      <w:lvlJc w:val="left"/>
      <w:pPr>
        <w:ind w:left="8083" w:hanging="720"/>
      </w:pPr>
      <w:rPr>
        <w:rFonts w:hint="default"/>
        <w:lang w:val="en-US" w:eastAsia="en-US" w:bidi="en-US"/>
      </w:rPr>
    </w:lvl>
    <w:lvl w:ilvl="8">
      <w:numFmt w:val="bullet"/>
      <w:lvlText w:val="•"/>
      <w:lvlJc w:val="left"/>
      <w:pPr>
        <w:ind w:left="8952" w:hanging="720"/>
      </w:pPr>
      <w:rPr>
        <w:rFonts w:hint="default"/>
        <w:lang w:val="en-US" w:eastAsia="en-US" w:bidi="en-US"/>
      </w:rPr>
    </w:lvl>
  </w:abstractNum>
  <w:abstractNum w:abstractNumId="48">
    <w:nsid w:val="69E67505"/>
    <w:multiLevelType w:val="hybridMultilevel"/>
    <w:tmpl w:val="8758E006"/>
    <w:lvl w:ilvl="0" w:tplc="8EE8F50C">
      <w:start w:val="1"/>
      <w:numFmt w:val="lowerLetter"/>
      <w:lvlText w:val="%1)"/>
      <w:lvlJc w:val="left"/>
      <w:pPr>
        <w:ind w:left="2720" w:hanging="360"/>
      </w:pPr>
      <w:rPr>
        <w:rFonts w:hint="default"/>
      </w:r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49">
    <w:nsid w:val="6EBC7BBA"/>
    <w:multiLevelType w:val="hybridMultilevel"/>
    <w:tmpl w:val="E2C0698A"/>
    <w:lvl w:ilvl="0" w:tplc="5002C564">
      <w:start w:val="1"/>
      <w:numFmt w:val="lowerLetter"/>
      <w:lvlText w:val="%1)"/>
      <w:lvlJc w:val="left"/>
      <w:pPr>
        <w:ind w:left="1772" w:hanging="363"/>
      </w:pPr>
      <w:rPr>
        <w:rFonts w:ascii="Arial" w:eastAsia="Arial" w:hAnsi="Arial" w:cs="Arial" w:hint="default"/>
        <w:w w:val="96"/>
        <w:sz w:val="20"/>
        <w:szCs w:val="20"/>
        <w:lang w:val="en-US" w:eastAsia="en-US" w:bidi="en-US"/>
      </w:rPr>
    </w:lvl>
    <w:lvl w:ilvl="1" w:tplc="449A3302">
      <w:numFmt w:val="bullet"/>
      <w:lvlText w:val="•"/>
      <w:lvlJc w:val="left"/>
      <w:pPr>
        <w:ind w:left="2671" w:hanging="363"/>
      </w:pPr>
      <w:rPr>
        <w:rFonts w:hint="default"/>
        <w:lang w:val="en-US" w:eastAsia="en-US" w:bidi="en-US"/>
      </w:rPr>
    </w:lvl>
    <w:lvl w:ilvl="2" w:tplc="352AE800">
      <w:numFmt w:val="bullet"/>
      <w:lvlText w:val="•"/>
      <w:lvlJc w:val="left"/>
      <w:pPr>
        <w:ind w:left="3562" w:hanging="363"/>
      </w:pPr>
      <w:rPr>
        <w:rFonts w:hint="default"/>
        <w:lang w:val="en-US" w:eastAsia="en-US" w:bidi="en-US"/>
      </w:rPr>
    </w:lvl>
    <w:lvl w:ilvl="3" w:tplc="D7DC8C02">
      <w:numFmt w:val="bullet"/>
      <w:lvlText w:val="•"/>
      <w:lvlJc w:val="left"/>
      <w:pPr>
        <w:ind w:left="4453" w:hanging="363"/>
      </w:pPr>
      <w:rPr>
        <w:rFonts w:hint="default"/>
        <w:lang w:val="en-US" w:eastAsia="en-US" w:bidi="en-US"/>
      </w:rPr>
    </w:lvl>
    <w:lvl w:ilvl="4" w:tplc="C9ECFA44">
      <w:numFmt w:val="bullet"/>
      <w:lvlText w:val="•"/>
      <w:lvlJc w:val="left"/>
      <w:pPr>
        <w:ind w:left="5344" w:hanging="363"/>
      </w:pPr>
      <w:rPr>
        <w:rFonts w:hint="default"/>
        <w:lang w:val="en-US" w:eastAsia="en-US" w:bidi="en-US"/>
      </w:rPr>
    </w:lvl>
    <w:lvl w:ilvl="5" w:tplc="BD4E0BAE">
      <w:numFmt w:val="bullet"/>
      <w:lvlText w:val="•"/>
      <w:lvlJc w:val="left"/>
      <w:pPr>
        <w:ind w:left="6235" w:hanging="363"/>
      </w:pPr>
      <w:rPr>
        <w:rFonts w:hint="default"/>
        <w:lang w:val="en-US" w:eastAsia="en-US" w:bidi="en-US"/>
      </w:rPr>
    </w:lvl>
    <w:lvl w:ilvl="6" w:tplc="903E1CAA">
      <w:numFmt w:val="bullet"/>
      <w:lvlText w:val="•"/>
      <w:lvlJc w:val="left"/>
      <w:pPr>
        <w:ind w:left="7126" w:hanging="363"/>
      </w:pPr>
      <w:rPr>
        <w:rFonts w:hint="default"/>
        <w:lang w:val="en-US" w:eastAsia="en-US" w:bidi="en-US"/>
      </w:rPr>
    </w:lvl>
    <w:lvl w:ilvl="7" w:tplc="18583BF8">
      <w:numFmt w:val="bullet"/>
      <w:lvlText w:val="•"/>
      <w:lvlJc w:val="left"/>
      <w:pPr>
        <w:ind w:left="8017" w:hanging="363"/>
      </w:pPr>
      <w:rPr>
        <w:rFonts w:hint="default"/>
        <w:lang w:val="en-US" w:eastAsia="en-US" w:bidi="en-US"/>
      </w:rPr>
    </w:lvl>
    <w:lvl w:ilvl="8" w:tplc="28268160">
      <w:numFmt w:val="bullet"/>
      <w:lvlText w:val="•"/>
      <w:lvlJc w:val="left"/>
      <w:pPr>
        <w:ind w:left="8908" w:hanging="363"/>
      </w:pPr>
      <w:rPr>
        <w:rFonts w:hint="default"/>
        <w:lang w:val="en-US" w:eastAsia="en-US" w:bidi="en-US"/>
      </w:rPr>
    </w:lvl>
  </w:abstractNum>
  <w:abstractNum w:abstractNumId="50">
    <w:nsid w:val="70D6062A"/>
    <w:multiLevelType w:val="hybridMultilevel"/>
    <w:tmpl w:val="657A7A6C"/>
    <w:lvl w:ilvl="0" w:tplc="EAE4EAF0">
      <w:numFmt w:val="bullet"/>
      <w:lvlText w:val=""/>
      <w:lvlJc w:val="left"/>
      <w:pPr>
        <w:ind w:left="2360" w:hanging="360"/>
      </w:pPr>
      <w:rPr>
        <w:rFonts w:ascii="Symbol" w:eastAsia="Symbol" w:hAnsi="Symbol" w:cs="Symbol" w:hint="default"/>
        <w:color w:val="211F1F"/>
        <w:w w:val="97"/>
        <w:sz w:val="20"/>
        <w:szCs w:val="20"/>
        <w:lang w:val="en-US" w:eastAsia="en-US" w:bidi="en-US"/>
      </w:rPr>
    </w:lvl>
    <w:lvl w:ilvl="1" w:tplc="B27A967E">
      <w:numFmt w:val="bullet"/>
      <w:lvlText w:val="•"/>
      <w:lvlJc w:val="left"/>
      <w:pPr>
        <w:ind w:left="3193" w:hanging="360"/>
      </w:pPr>
      <w:rPr>
        <w:rFonts w:hint="default"/>
        <w:lang w:val="en-US" w:eastAsia="en-US" w:bidi="en-US"/>
      </w:rPr>
    </w:lvl>
    <w:lvl w:ilvl="2" w:tplc="CD64EA04">
      <w:numFmt w:val="bullet"/>
      <w:lvlText w:val="•"/>
      <w:lvlJc w:val="left"/>
      <w:pPr>
        <w:ind w:left="4026" w:hanging="360"/>
      </w:pPr>
      <w:rPr>
        <w:rFonts w:hint="default"/>
        <w:lang w:val="en-US" w:eastAsia="en-US" w:bidi="en-US"/>
      </w:rPr>
    </w:lvl>
    <w:lvl w:ilvl="3" w:tplc="63DC7B2E">
      <w:numFmt w:val="bullet"/>
      <w:lvlText w:val="•"/>
      <w:lvlJc w:val="left"/>
      <w:pPr>
        <w:ind w:left="4859" w:hanging="360"/>
      </w:pPr>
      <w:rPr>
        <w:rFonts w:hint="default"/>
        <w:lang w:val="en-US" w:eastAsia="en-US" w:bidi="en-US"/>
      </w:rPr>
    </w:lvl>
    <w:lvl w:ilvl="4" w:tplc="3042B2E2">
      <w:numFmt w:val="bullet"/>
      <w:lvlText w:val="•"/>
      <w:lvlJc w:val="left"/>
      <w:pPr>
        <w:ind w:left="5692" w:hanging="360"/>
      </w:pPr>
      <w:rPr>
        <w:rFonts w:hint="default"/>
        <w:lang w:val="en-US" w:eastAsia="en-US" w:bidi="en-US"/>
      </w:rPr>
    </w:lvl>
    <w:lvl w:ilvl="5" w:tplc="FEE41C9E">
      <w:numFmt w:val="bullet"/>
      <w:lvlText w:val="•"/>
      <w:lvlJc w:val="left"/>
      <w:pPr>
        <w:ind w:left="6525" w:hanging="360"/>
      </w:pPr>
      <w:rPr>
        <w:rFonts w:hint="default"/>
        <w:lang w:val="en-US" w:eastAsia="en-US" w:bidi="en-US"/>
      </w:rPr>
    </w:lvl>
    <w:lvl w:ilvl="6" w:tplc="3D7668EE">
      <w:numFmt w:val="bullet"/>
      <w:lvlText w:val="•"/>
      <w:lvlJc w:val="left"/>
      <w:pPr>
        <w:ind w:left="7358" w:hanging="360"/>
      </w:pPr>
      <w:rPr>
        <w:rFonts w:hint="default"/>
        <w:lang w:val="en-US" w:eastAsia="en-US" w:bidi="en-US"/>
      </w:rPr>
    </w:lvl>
    <w:lvl w:ilvl="7" w:tplc="F80C7578">
      <w:numFmt w:val="bullet"/>
      <w:lvlText w:val="•"/>
      <w:lvlJc w:val="left"/>
      <w:pPr>
        <w:ind w:left="8191" w:hanging="360"/>
      </w:pPr>
      <w:rPr>
        <w:rFonts w:hint="default"/>
        <w:lang w:val="en-US" w:eastAsia="en-US" w:bidi="en-US"/>
      </w:rPr>
    </w:lvl>
    <w:lvl w:ilvl="8" w:tplc="DC0EA980">
      <w:numFmt w:val="bullet"/>
      <w:lvlText w:val="•"/>
      <w:lvlJc w:val="left"/>
      <w:pPr>
        <w:ind w:left="9024" w:hanging="360"/>
      </w:pPr>
      <w:rPr>
        <w:rFonts w:hint="default"/>
        <w:lang w:val="en-US" w:eastAsia="en-US" w:bidi="en-US"/>
      </w:rPr>
    </w:lvl>
  </w:abstractNum>
  <w:abstractNum w:abstractNumId="51">
    <w:nsid w:val="7105297E"/>
    <w:multiLevelType w:val="multilevel"/>
    <w:tmpl w:val="4E18675C"/>
    <w:lvl w:ilvl="0">
      <w:start w:val="4"/>
      <w:numFmt w:val="decimal"/>
      <w:lvlText w:val="%1"/>
      <w:lvlJc w:val="left"/>
      <w:pPr>
        <w:ind w:left="2000" w:hanging="720"/>
      </w:pPr>
      <w:rPr>
        <w:rFonts w:hint="default"/>
        <w:lang w:val="en-US" w:eastAsia="en-US" w:bidi="en-US"/>
      </w:rPr>
    </w:lvl>
    <w:lvl w:ilvl="1">
      <w:start w:val="5"/>
      <w:numFmt w:val="decimal"/>
      <w:lvlText w:val="%1.%2"/>
      <w:lvlJc w:val="left"/>
      <w:pPr>
        <w:ind w:left="2000" w:hanging="720"/>
        <w:jc w:val="right"/>
      </w:pPr>
      <w:rPr>
        <w:rFonts w:hint="default"/>
        <w:lang w:val="en-US" w:eastAsia="en-US" w:bidi="en-US"/>
      </w:rPr>
    </w:lvl>
    <w:lvl w:ilvl="2">
      <w:start w:val="1"/>
      <w:numFmt w:val="decimal"/>
      <w:lvlText w:val="%1.%2.%3"/>
      <w:lvlJc w:val="left"/>
      <w:pPr>
        <w:ind w:left="1640" w:hanging="720"/>
      </w:pPr>
      <w:rPr>
        <w:rFonts w:hint="default"/>
        <w:b/>
        <w:bCs/>
        <w:w w:val="97"/>
        <w:lang w:val="en-US" w:eastAsia="en-US" w:bidi="en-US"/>
      </w:rPr>
    </w:lvl>
    <w:lvl w:ilvl="3">
      <w:start w:val="1"/>
      <w:numFmt w:val="lowerLetter"/>
      <w:lvlText w:val="(%4)"/>
      <w:lvlJc w:val="left"/>
      <w:pPr>
        <w:ind w:left="2360" w:hanging="720"/>
      </w:pPr>
      <w:rPr>
        <w:rFonts w:ascii="Arial" w:eastAsia="Arial" w:hAnsi="Arial" w:cs="Arial" w:hint="default"/>
        <w:w w:val="96"/>
        <w:sz w:val="20"/>
        <w:szCs w:val="20"/>
        <w:lang w:val="en-US" w:eastAsia="en-US" w:bidi="en-US"/>
      </w:rPr>
    </w:lvl>
    <w:lvl w:ilvl="4">
      <w:start w:val="1"/>
      <w:numFmt w:val="lowerRoman"/>
      <w:lvlText w:val="%5."/>
      <w:lvlJc w:val="left"/>
      <w:pPr>
        <w:ind w:left="2420" w:hanging="720"/>
      </w:pPr>
      <w:rPr>
        <w:rFonts w:ascii="Arial" w:eastAsia="Arial" w:hAnsi="Arial" w:cs="Arial" w:hint="default"/>
        <w:spacing w:val="-3"/>
        <w:w w:val="96"/>
        <w:sz w:val="20"/>
        <w:szCs w:val="20"/>
        <w:lang w:val="en-US" w:eastAsia="en-US" w:bidi="en-US"/>
      </w:rPr>
    </w:lvl>
    <w:lvl w:ilvl="5">
      <w:numFmt w:val="bullet"/>
      <w:lvlText w:val="•"/>
      <w:lvlJc w:val="left"/>
      <w:pPr>
        <w:ind w:left="4783" w:hanging="720"/>
      </w:pPr>
      <w:rPr>
        <w:rFonts w:hint="default"/>
        <w:lang w:val="en-US" w:eastAsia="en-US" w:bidi="en-US"/>
      </w:rPr>
    </w:lvl>
    <w:lvl w:ilvl="6">
      <w:numFmt w:val="bullet"/>
      <w:lvlText w:val="•"/>
      <w:lvlJc w:val="left"/>
      <w:pPr>
        <w:ind w:left="5964" w:hanging="720"/>
      </w:pPr>
      <w:rPr>
        <w:rFonts w:hint="default"/>
        <w:lang w:val="en-US" w:eastAsia="en-US" w:bidi="en-US"/>
      </w:rPr>
    </w:lvl>
    <w:lvl w:ilvl="7">
      <w:numFmt w:val="bullet"/>
      <w:lvlText w:val="•"/>
      <w:lvlJc w:val="left"/>
      <w:pPr>
        <w:ind w:left="7146" w:hanging="720"/>
      </w:pPr>
      <w:rPr>
        <w:rFonts w:hint="default"/>
        <w:lang w:val="en-US" w:eastAsia="en-US" w:bidi="en-US"/>
      </w:rPr>
    </w:lvl>
    <w:lvl w:ilvl="8">
      <w:numFmt w:val="bullet"/>
      <w:lvlText w:val="•"/>
      <w:lvlJc w:val="left"/>
      <w:pPr>
        <w:ind w:left="8328" w:hanging="720"/>
      </w:pPr>
      <w:rPr>
        <w:rFonts w:hint="default"/>
        <w:lang w:val="en-US" w:eastAsia="en-US" w:bidi="en-US"/>
      </w:rPr>
    </w:lvl>
  </w:abstractNum>
  <w:abstractNum w:abstractNumId="52">
    <w:nsid w:val="71144F78"/>
    <w:multiLevelType w:val="multilevel"/>
    <w:tmpl w:val="B06A4ADA"/>
    <w:lvl w:ilvl="0">
      <w:start w:val="2"/>
      <w:numFmt w:val="decimal"/>
      <w:lvlText w:val="%1"/>
      <w:lvlJc w:val="left"/>
      <w:pPr>
        <w:ind w:left="2360" w:hanging="588"/>
      </w:pPr>
      <w:rPr>
        <w:rFonts w:hint="default"/>
        <w:lang w:val="en-US" w:eastAsia="en-US" w:bidi="en-US"/>
      </w:rPr>
    </w:lvl>
    <w:lvl w:ilvl="1">
      <w:start w:val="3"/>
      <w:numFmt w:val="decimal"/>
      <w:lvlText w:val="%1.%2"/>
      <w:lvlJc w:val="left"/>
      <w:pPr>
        <w:ind w:left="2360" w:hanging="588"/>
        <w:jc w:val="right"/>
      </w:pPr>
      <w:rPr>
        <w:rFonts w:hint="default"/>
        <w:b/>
        <w:bCs/>
        <w:spacing w:val="-1"/>
        <w:w w:val="99"/>
        <w:lang w:val="en-US" w:eastAsia="en-US" w:bidi="en-US"/>
      </w:rPr>
    </w:lvl>
    <w:lvl w:ilvl="2">
      <w:start w:val="1"/>
      <w:numFmt w:val="lowerLetter"/>
      <w:lvlText w:val="(%3)"/>
      <w:lvlJc w:val="left"/>
      <w:pPr>
        <w:ind w:left="2542" w:hanging="363"/>
      </w:pPr>
      <w:rPr>
        <w:rFonts w:ascii="Arial" w:eastAsia="Arial" w:hAnsi="Arial" w:cs="Arial" w:hint="default"/>
        <w:w w:val="96"/>
        <w:sz w:val="20"/>
        <w:szCs w:val="20"/>
        <w:lang w:val="en-US" w:eastAsia="en-US" w:bidi="en-US"/>
      </w:rPr>
    </w:lvl>
    <w:lvl w:ilvl="3">
      <w:start w:val="1"/>
      <w:numFmt w:val="lowerRoman"/>
      <w:lvlText w:val="%4."/>
      <w:lvlJc w:val="left"/>
      <w:pPr>
        <w:ind w:left="3082" w:hanging="459"/>
        <w:jc w:val="right"/>
      </w:pPr>
      <w:rPr>
        <w:rFonts w:hint="default"/>
        <w:spacing w:val="-3"/>
        <w:w w:val="96"/>
        <w:lang w:val="en-US" w:eastAsia="en-US" w:bidi="en-US"/>
      </w:rPr>
    </w:lvl>
    <w:lvl w:ilvl="4">
      <w:start w:val="1"/>
      <w:numFmt w:val="lowerLetter"/>
      <w:lvlText w:val="%5."/>
      <w:lvlJc w:val="left"/>
      <w:pPr>
        <w:ind w:left="3803" w:hanging="719"/>
      </w:pPr>
      <w:rPr>
        <w:rFonts w:ascii="Arial" w:eastAsia="Arial" w:hAnsi="Arial" w:cs="Arial" w:hint="default"/>
        <w:w w:val="96"/>
        <w:sz w:val="20"/>
        <w:szCs w:val="20"/>
        <w:lang w:val="en-US" w:eastAsia="en-US" w:bidi="en-US"/>
      </w:rPr>
    </w:lvl>
    <w:lvl w:ilvl="5">
      <w:numFmt w:val="bullet"/>
      <w:lvlText w:val="•"/>
      <w:lvlJc w:val="left"/>
      <w:pPr>
        <w:ind w:left="4948" w:hanging="719"/>
      </w:pPr>
      <w:rPr>
        <w:rFonts w:hint="default"/>
        <w:lang w:val="en-US" w:eastAsia="en-US" w:bidi="en-US"/>
      </w:rPr>
    </w:lvl>
    <w:lvl w:ilvl="6">
      <w:numFmt w:val="bullet"/>
      <w:lvlText w:val="•"/>
      <w:lvlJc w:val="left"/>
      <w:pPr>
        <w:ind w:left="6097" w:hanging="719"/>
      </w:pPr>
      <w:rPr>
        <w:rFonts w:hint="default"/>
        <w:lang w:val="en-US" w:eastAsia="en-US" w:bidi="en-US"/>
      </w:rPr>
    </w:lvl>
    <w:lvl w:ilvl="7">
      <w:numFmt w:val="bullet"/>
      <w:lvlText w:val="•"/>
      <w:lvlJc w:val="left"/>
      <w:pPr>
        <w:ind w:left="7245" w:hanging="719"/>
      </w:pPr>
      <w:rPr>
        <w:rFonts w:hint="default"/>
        <w:lang w:val="en-US" w:eastAsia="en-US" w:bidi="en-US"/>
      </w:rPr>
    </w:lvl>
    <w:lvl w:ilvl="8">
      <w:numFmt w:val="bullet"/>
      <w:lvlText w:val="•"/>
      <w:lvlJc w:val="left"/>
      <w:pPr>
        <w:ind w:left="8394" w:hanging="719"/>
      </w:pPr>
      <w:rPr>
        <w:rFonts w:hint="default"/>
        <w:lang w:val="en-US" w:eastAsia="en-US" w:bidi="en-US"/>
      </w:rPr>
    </w:lvl>
  </w:abstractNum>
  <w:abstractNum w:abstractNumId="53">
    <w:nsid w:val="71DA1B84"/>
    <w:multiLevelType w:val="multilevel"/>
    <w:tmpl w:val="A91E795E"/>
    <w:lvl w:ilvl="0">
      <w:start w:val="1"/>
      <w:numFmt w:val="decimal"/>
      <w:lvlText w:val="%1."/>
      <w:lvlJc w:val="left"/>
      <w:pPr>
        <w:ind w:left="2041" w:hanging="360"/>
      </w:pPr>
      <w:rPr>
        <w:rFonts w:hint="default"/>
        <w:color w:val="auto"/>
      </w:rPr>
    </w:lvl>
    <w:lvl w:ilvl="1">
      <w:start w:val="2"/>
      <w:numFmt w:val="decimal"/>
      <w:isLgl/>
      <w:lvlText w:val="%1.%2"/>
      <w:lvlJc w:val="left"/>
      <w:pPr>
        <w:ind w:left="3061" w:hanging="1380"/>
      </w:pPr>
      <w:rPr>
        <w:rFonts w:hint="default"/>
      </w:rPr>
    </w:lvl>
    <w:lvl w:ilvl="2">
      <w:start w:val="16"/>
      <w:numFmt w:val="decimal"/>
      <w:isLgl/>
      <w:lvlText w:val="%1.%2.%3"/>
      <w:lvlJc w:val="left"/>
      <w:pPr>
        <w:ind w:left="3061" w:hanging="1380"/>
      </w:pPr>
      <w:rPr>
        <w:rFonts w:hint="default"/>
      </w:rPr>
    </w:lvl>
    <w:lvl w:ilvl="3">
      <w:start w:val="1"/>
      <w:numFmt w:val="decimal"/>
      <w:isLgl/>
      <w:lvlText w:val="%1.%2.%3.%4"/>
      <w:lvlJc w:val="left"/>
      <w:pPr>
        <w:ind w:left="3061" w:hanging="1380"/>
      </w:pPr>
      <w:rPr>
        <w:rFonts w:hint="default"/>
      </w:rPr>
    </w:lvl>
    <w:lvl w:ilvl="4">
      <w:start w:val="1"/>
      <w:numFmt w:val="decimal"/>
      <w:isLgl/>
      <w:lvlText w:val="%1.%2.%3.%4.%5"/>
      <w:lvlJc w:val="left"/>
      <w:pPr>
        <w:ind w:left="3061" w:hanging="1380"/>
      </w:pPr>
      <w:rPr>
        <w:rFonts w:hint="default"/>
      </w:rPr>
    </w:lvl>
    <w:lvl w:ilvl="5">
      <w:start w:val="1"/>
      <w:numFmt w:val="decimal"/>
      <w:isLgl/>
      <w:lvlText w:val="%1.%2.%3.%4.%5.%6"/>
      <w:lvlJc w:val="left"/>
      <w:pPr>
        <w:ind w:left="3061" w:hanging="1380"/>
      </w:pPr>
      <w:rPr>
        <w:rFonts w:hint="default"/>
      </w:rPr>
    </w:lvl>
    <w:lvl w:ilvl="6">
      <w:start w:val="1"/>
      <w:numFmt w:val="decimal"/>
      <w:isLgl/>
      <w:lvlText w:val="%1.%2.%3.%4.%5.%6.%7"/>
      <w:lvlJc w:val="left"/>
      <w:pPr>
        <w:ind w:left="3061" w:hanging="1380"/>
      </w:pPr>
      <w:rPr>
        <w:rFonts w:hint="default"/>
      </w:rPr>
    </w:lvl>
    <w:lvl w:ilvl="7">
      <w:start w:val="1"/>
      <w:numFmt w:val="decimal"/>
      <w:isLgl/>
      <w:lvlText w:val="%1.%2.%3.%4.%5.%6.%7.%8"/>
      <w:lvlJc w:val="left"/>
      <w:pPr>
        <w:ind w:left="3121" w:hanging="1440"/>
      </w:pPr>
      <w:rPr>
        <w:rFonts w:hint="default"/>
      </w:rPr>
    </w:lvl>
    <w:lvl w:ilvl="8">
      <w:start w:val="1"/>
      <w:numFmt w:val="decimal"/>
      <w:isLgl/>
      <w:lvlText w:val="%1.%2.%3.%4.%5.%6.%7.%8.%9"/>
      <w:lvlJc w:val="left"/>
      <w:pPr>
        <w:ind w:left="3121" w:hanging="1440"/>
      </w:pPr>
      <w:rPr>
        <w:rFonts w:hint="default"/>
      </w:rPr>
    </w:lvl>
  </w:abstractNum>
  <w:abstractNum w:abstractNumId="54">
    <w:nsid w:val="749C5B2D"/>
    <w:multiLevelType w:val="multilevel"/>
    <w:tmpl w:val="F2BE1C04"/>
    <w:lvl w:ilvl="0">
      <w:start w:val="3"/>
      <w:numFmt w:val="decimal"/>
      <w:lvlText w:val="%1"/>
      <w:lvlJc w:val="left"/>
      <w:pPr>
        <w:ind w:left="1530" w:hanging="610"/>
      </w:pPr>
      <w:rPr>
        <w:rFonts w:hint="default"/>
        <w:lang w:val="en-US" w:eastAsia="en-US" w:bidi="en-US"/>
      </w:rPr>
    </w:lvl>
    <w:lvl w:ilvl="1">
      <w:start w:val="10"/>
      <w:numFmt w:val="decimal"/>
      <w:lvlText w:val="%1.%2"/>
      <w:lvlJc w:val="left"/>
      <w:pPr>
        <w:ind w:left="1530" w:hanging="610"/>
        <w:jc w:val="right"/>
      </w:pPr>
      <w:rPr>
        <w:rFonts w:ascii="Arial" w:eastAsia="Arial" w:hAnsi="Arial" w:cs="Arial" w:hint="default"/>
        <w:b/>
        <w:bCs/>
        <w:w w:val="97"/>
        <w:sz w:val="20"/>
        <w:szCs w:val="20"/>
        <w:lang w:val="en-US" w:eastAsia="en-US" w:bidi="en-US"/>
      </w:rPr>
    </w:lvl>
    <w:lvl w:ilvl="2">
      <w:start w:val="1"/>
      <w:numFmt w:val="lowerLetter"/>
      <w:lvlText w:val="(%3)"/>
      <w:lvlJc w:val="left"/>
      <w:pPr>
        <w:ind w:left="2000" w:hanging="360"/>
      </w:pPr>
      <w:rPr>
        <w:rFonts w:ascii="Arial" w:eastAsia="Arial" w:hAnsi="Arial" w:cs="Arial" w:hint="default"/>
        <w:w w:val="96"/>
        <w:sz w:val="20"/>
        <w:szCs w:val="20"/>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897" w:hanging="360"/>
      </w:pPr>
      <w:rPr>
        <w:rFonts w:hint="default"/>
        <w:lang w:val="en-US" w:eastAsia="en-US" w:bidi="en-US"/>
      </w:rPr>
    </w:lvl>
    <w:lvl w:ilvl="5">
      <w:numFmt w:val="bullet"/>
      <w:lvlText w:val="•"/>
      <w:lvlJc w:val="left"/>
      <w:pPr>
        <w:ind w:left="5862" w:hanging="360"/>
      </w:pPr>
      <w:rPr>
        <w:rFonts w:hint="default"/>
        <w:lang w:val="en-US" w:eastAsia="en-US" w:bidi="en-US"/>
      </w:rPr>
    </w:lvl>
    <w:lvl w:ilvl="6">
      <w:numFmt w:val="bullet"/>
      <w:lvlText w:val="•"/>
      <w:lvlJc w:val="left"/>
      <w:pPr>
        <w:ind w:left="6828" w:hanging="360"/>
      </w:pPr>
      <w:rPr>
        <w:rFonts w:hint="default"/>
        <w:lang w:val="en-US" w:eastAsia="en-US" w:bidi="en-US"/>
      </w:rPr>
    </w:lvl>
    <w:lvl w:ilvl="7">
      <w:numFmt w:val="bullet"/>
      <w:lvlText w:val="•"/>
      <w:lvlJc w:val="left"/>
      <w:pPr>
        <w:ind w:left="7794" w:hanging="360"/>
      </w:pPr>
      <w:rPr>
        <w:rFonts w:hint="default"/>
        <w:lang w:val="en-US" w:eastAsia="en-US" w:bidi="en-US"/>
      </w:rPr>
    </w:lvl>
    <w:lvl w:ilvl="8">
      <w:numFmt w:val="bullet"/>
      <w:lvlText w:val="•"/>
      <w:lvlJc w:val="left"/>
      <w:pPr>
        <w:ind w:left="8759" w:hanging="360"/>
      </w:pPr>
      <w:rPr>
        <w:rFonts w:hint="default"/>
        <w:lang w:val="en-US" w:eastAsia="en-US" w:bidi="en-US"/>
      </w:rPr>
    </w:lvl>
  </w:abstractNum>
  <w:abstractNum w:abstractNumId="55">
    <w:nsid w:val="75422538"/>
    <w:multiLevelType w:val="hybridMultilevel"/>
    <w:tmpl w:val="EDD495EC"/>
    <w:lvl w:ilvl="0" w:tplc="6EB0C5E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5A05242"/>
    <w:multiLevelType w:val="hybridMultilevel"/>
    <w:tmpl w:val="D09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6F4797"/>
    <w:multiLevelType w:val="hybridMultilevel"/>
    <w:tmpl w:val="6DD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3">
      <w:start w:val="1"/>
      <w:numFmt w:val="upp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F53863"/>
    <w:multiLevelType w:val="hybridMultilevel"/>
    <w:tmpl w:val="B56A37A6"/>
    <w:lvl w:ilvl="0" w:tplc="350C73D2">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D7EAA41E">
      <w:numFmt w:val="bullet"/>
      <w:lvlText w:val="•"/>
      <w:lvlJc w:val="left"/>
      <w:pPr>
        <w:ind w:left="2869" w:hanging="540"/>
      </w:pPr>
      <w:rPr>
        <w:rFonts w:hint="default"/>
        <w:lang w:val="en-US" w:eastAsia="en-US" w:bidi="en-US"/>
      </w:rPr>
    </w:lvl>
    <w:lvl w:ilvl="2" w:tplc="9D763352">
      <w:numFmt w:val="bullet"/>
      <w:lvlText w:val="•"/>
      <w:lvlJc w:val="left"/>
      <w:pPr>
        <w:ind w:left="3738" w:hanging="540"/>
      </w:pPr>
      <w:rPr>
        <w:rFonts w:hint="default"/>
        <w:lang w:val="en-US" w:eastAsia="en-US" w:bidi="en-US"/>
      </w:rPr>
    </w:lvl>
    <w:lvl w:ilvl="3" w:tplc="1F3CC5E4">
      <w:numFmt w:val="bullet"/>
      <w:lvlText w:val="•"/>
      <w:lvlJc w:val="left"/>
      <w:pPr>
        <w:ind w:left="4607" w:hanging="540"/>
      </w:pPr>
      <w:rPr>
        <w:rFonts w:hint="default"/>
        <w:lang w:val="en-US" w:eastAsia="en-US" w:bidi="en-US"/>
      </w:rPr>
    </w:lvl>
    <w:lvl w:ilvl="4" w:tplc="5C220BC8">
      <w:numFmt w:val="bullet"/>
      <w:lvlText w:val="•"/>
      <w:lvlJc w:val="left"/>
      <w:pPr>
        <w:ind w:left="5476" w:hanging="540"/>
      </w:pPr>
      <w:rPr>
        <w:rFonts w:hint="default"/>
        <w:lang w:val="en-US" w:eastAsia="en-US" w:bidi="en-US"/>
      </w:rPr>
    </w:lvl>
    <w:lvl w:ilvl="5" w:tplc="35A8ECEC">
      <w:numFmt w:val="bullet"/>
      <w:lvlText w:val="•"/>
      <w:lvlJc w:val="left"/>
      <w:pPr>
        <w:ind w:left="6345" w:hanging="540"/>
      </w:pPr>
      <w:rPr>
        <w:rFonts w:hint="default"/>
        <w:lang w:val="en-US" w:eastAsia="en-US" w:bidi="en-US"/>
      </w:rPr>
    </w:lvl>
    <w:lvl w:ilvl="6" w:tplc="AF46A5DA">
      <w:numFmt w:val="bullet"/>
      <w:lvlText w:val="•"/>
      <w:lvlJc w:val="left"/>
      <w:pPr>
        <w:ind w:left="7214" w:hanging="540"/>
      </w:pPr>
      <w:rPr>
        <w:rFonts w:hint="default"/>
        <w:lang w:val="en-US" w:eastAsia="en-US" w:bidi="en-US"/>
      </w:rPr>
    </w:lvl>
    <w:lvl w:ilvl="7" w:tplc="08C4CB72">
      <w:numFmt w:val="bullet"/>
      <w:lvlText w:val="•"/>
      <w:lvlJc w:val="left"/>
      <w:pPr>
        <w:ind w:left="8083" w:hanging="540"/>
      </w:pPr>
      <w:rPr>
        <w:rFonts w:hint="default"/>
        <w:lang w:val="en-US" w:eastAsia="en-US" w:bidi="en-US"/>
      </w:rPr>
    </w:lvl>
    <w:lvl w:ilvl="8" w:tplc="715C644C">
      <w:numFmt w:val="bullet"/>
      <w:lvlText w:val="•"/>
      <w:lvlJc w:val="left"/>
      <w:pPr>
        <w:ind w:left="8952" w:hanging="540"/>
      </w:pPr>
      <w:rPr>
        <w:rFonts w:hint="default"/>
        <w:lang w:val="en-US" w:eastAsia="en-US" w:bidi="en-US"/>
      </w:rPr>
    </w:lvl>
  </w:abstractNum>
  <w:num w:numId="1">
    <w:abstractNumId w:val="1"/>
  </w:num>
  <w:num w:numId="2">
    <w:abstractNumId w:val="43"/>
  </w:num>
  <w:num w:numId="3">
    <w:abstractNumId w:val="25"/>
  </w:num>
  <w:num w:numId="4">
    <w:abstractNumId w:val="13"/>
  </w:num>
  <w:num w:numId="5">
    <w:abstractNumId w:val="3"/>
  </w:num>
  <w:num w:numId="6">
    <w:abstractNumId w:val="33"/>
  </w:num>
  <w:num w:numId="7">
    <w:abstractNumId w:val="5"/>
  </w:num>
  <w:num w:numId="8">
    <w:abstractNumId w:val="20"/>
  </w:num>
  <w:num w:numId="9">
    <w:abstractNumId w:val="10"/>
  </w:num>
  <w:num w:numId="10">
    <w:abstractNumId w:val="4"/>
  </w:num>
  <w:num w:numId="11">
    <w:abstractNumId w:val="50"/>
  </w:num>
  <w:num w:numId="12">
    <w:abstractNumId w:val="0"/>
  </w:num>
  <w:num w:numId="13">
    <w:abstractNumId w:val="31"/>
  </w:num>
  <w:num w:numId="14">
    <w:abstractNumId w:val="51"/>
  </w:num>
  <w:num w:numId="15">
    <w:abstractNumId w:val="58"/>
  </w:num>
  <w:num w:numId="16">
    <w:abstractNumId w:val="6"/>
  </w:num>
  <w:num w:numId="17">
    <w:abstractNumId w:val="7"/>
  </w:num>
  <w:num w:numId="18">
    <w:abstractNumId w:val="19"/>
  </w:num>
  <w:num w:numId="19">
    <w:abstractNumId w:val="12"/>
  </w:num>
  <w:num w:numId="20">
    <w:abstractNumId w:val="8"/>
  </w:num>
  <w:num w:numId="21">
    <w:abstractNumId w:val="35"/>
  </w:num>
  <w:num w:numId="22">
    <w:abstractNumId w:val="47"/>
  </w:num>
  <w:num w:numId="23">
    <w:abstractNumId w:val="21"/>
  </w:num>
  <w:num w:numId="24">
    <w:abstractNumId w:val="40"/>
  </w:num>
  <w:num w:numId="25">
    <w:abstractNumId w:val="24"/>
  </w:num>
  <w:num w:numId="26">
    <w:abstractNumId w:val="49"/>
  </w:num>
  <w:num w:numId="27">
    <w:abstractNumId w:val="36"/>
  </w:num>
  <w:num w:numId="28">
    <w:abstractNumId w:val="16"/>
  </w:num>
  <w:num w:numId="29">
    <w:abstractNumId w:val="30"/>
  </w:num>
  <w:num w:numId="30">
    <w:abstractNumId w:val="54"/>
  </w:num>
  <w:num w:numId="31">
    <w:abstractNumId w:val="11"/>
  </w:num>
  <w:num w:numId="32">
    <w:abstractNumId w:val="41"/>
  </w:num>
  <w:num w:numId="33">
    <w:abstractNumId w:val="15"/>
  </w:num>
  <w:num w:numId="34">
    <w:abstractNumId w:val="44"/>
  </w:num>
  <w:num w:numId="35">
    <w:abstractNumId w:val="37"/>
  </w:num>
  <w:num w:numId="36">
    <w:abstractNumId w:val="45"/>
  </w:num>
  <w:num w:numId="37">
    <w:abstractNumId w:val="52"/>
  </w:num>
  <w:num w:numId="38">
    <w:abstractNumId w:val="38"/>
  </w:num>
  <w:num w:numId="39">
    <w:abstractNumId w:val="42"/>
  </w:num>
  <w:num w:numId="40">
    <w:abstractNumId w:val="23"/>
  </w:num>
  <w:num w:numId="41">
    <w:abstractNumId w:val="26"/>
  </w:num>
  <w:num w:numId="42">
    <w:abstractNumId w:val="29"/>
  </w:num>
  <w:num w:numId="43">
    <w:abstractNumId w:val="17"/>
  </w:num>
  <w:num w:numId="44">
    <w:abstractNumId w:val="9"/>
  </w:num>
  <w:num w:numId="45">
    <w:abstractNumId w:val="55"/>
  </w:num>
  <w:num w:numId="46">
    <w:abstractNumId w:val="28"/>
  </w:num>
  <w:num w:numId="47">
    <w:abstractNumId w:val="32"/>
  </w:num>
  <w:num w:numId="48">
    <w:abstractNumId w:val="22"/>
  </w:num>
  <w:num w:numId="49">
    <w:abstractNumId w:val="39"/>
  </w:num>
  <w:num w:numId="50">
    <w:abstractNumId w:val="53"/>
  </w:num>
  <w:num w:numId="51">
    <w:abstractNumId w:val="46"/>
  </w:num>
  <w:num w:numId="52">
    <w:abstractNumId w:val="18"/>
  </w:num>
  <w:num w:numId="53">
    <w:abstractNumId w:val="48"/>
  </w:num>
  <w:num w:numId="54">
    <w:abstractNumId w:val="14"/>
  </w:num>
  <w:num w:numId="55">
    <w:abstractNumId w:val="34"/>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57"/>
  </w:num>
  <w:num w:numId="61">
    <w:abstractNumId w:val="56"/>
  </w:num>
  <w:num w:numId="62">
    <w:abstractNumId w:val="2"/>
  </w:num>
  <w:num w:numId="63">
    <w:abstractNumId w:val="2"/>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1116"/>
          </w:tabs>
          <w:ind w:left="1116" w:hanging="576"/>
        </w:pPr>
        <w:rPr>
          <w:rFonts w:ascii="Times New Roman" w:hAnsi="Times New Roman" w:cs="Times New Roman" w:hint="default"/>
          <w:b/>
          <w:i w:val="0"/>
          <w:sz w:val="22"/>
          <w:szCs w:val="22"/>
        </w:rPr>
      </w:lvl>
    </w:lvlOverride>
    <w:lvlOverride w:ilvl="2">
      <w:lvl w:ilvl="2">
        <w:start w:val="1"/>
        <w:numFmt w:val="decimal"/>
        <w:lvlText w:val="%1.%2.%3"/>
        <w:lvlJc w:val="left"/>
        <w:pPr>
          <w:tabs>
            <w:tab w:val="num" w:pos="720"/>
          </w:tabs>
          <w:ind w:left="720" w:hanging="720"/>
        </w:pPr>
        <w:rPr>
          <w:rFonts w:cs="Times New Roman" w:hint="default"/>
          <w:b/>
          <w:i w:val="0"/>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hammad Junaid Younas Ghori">
    <w15:presenceInfo w15:providerId="AD" w15:userId="S-1-5-21-776561741-1972579041-1801674531-65770"/>
  </w15:person>
  <w15:person w15:author="Raja Ateeq Ahmed">
    <w15:presenceInfo w15:providerId="AD" w15:userId="S-1-5-21-776561741-1972579041-1801674531-59065"/>
  </w15:person>
  <w15:person w15:author="Muhammad Umer">
    <w15:presenceInfo w15:providerId="AD" w15:userId="S-1-5-21-776561741-1972579041-1801674531-6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48"/>
    <w:rsid w:val="000020BF"/>
    <w:rsid w:val="000110AC"/>
    <w:rsid w:val="00013208"/>
    <w:rsid w:val="00013225"/>
    <w:rsid w:val="00016CEC"/>
    <w:rsid w:val="00021F8A"/>
    <w:rsid w:val="00030318"/>
    <w:rsid w:val="000355B0"/>
    <w:rsid w:val="00042138"/>
    <w:rsid w:val="000540E5"/>
    <w:rsid w:val="0006584C"/>
    <w:rsid w:val="000804B4"/>
    <w:rsid w:val="00084BEF"/>
    <w:rsid w:val="000945FC"/>
    <w:rsid w:val="000A61E1"/>
    <w:rsid w:val="000B0A39"/>
    <w:rsid w:val="000B3D2C"/>
    <w:rsid w:val="000B5C87"/>
    <w:rsid w:val="000B7F30"/>
    <w:rsid w:val="000C1D73"/>
    <w:rsid w:val="000C2EDB"/>
    <w:rsid w:val="000C3009"/>
    <w:rsid w:val="000C3FD4"/>
    <w:rsid w:val="000C50B0"/>
    <w:rsid w:val="000C5565"/>
    <w:rsid w:val="000D273C"/>
    <w:rsid w:val="000D62E8"/>
    <w:rsid w:val="000E67A9"/>
    <w:rsid w:val="000F01F8"/>
    <w:rsid w:val="000F035D"/>
    <w:rsid w:val="000F0524"/>
    <w:rsid w:val="00104886"/>
    <w:rsid w:val="00107425"/>
    <w:rsid w:val="00107623"/>
    <w:rsid w:val="00113BC1"/>
    <w:rsid w:val="001151B2"/>
    <w:rsid w:val="00115A2F"/>
    <w:rsid w:val="00117C3A"/>
    <w:rsid w:val="00117C6F"/>
    <w:rsid w:val="0013124E"/>
    <w:rsid w:val="00132748"/>
    <w:rsid w:val="00134789"/>
    <w:rsid w:val="00135E80"/>
    <w:rsid w:val="00140424"/>
    <w:rsid w:val="00143563"/>
    <w:rsid w:val="001505B8"/>
    <w:rsid w:val="00150DDB"/>
    <w:rsid w:val="00153CAE"/>
    <w:rsid w:val="00153CD2"/>
    <w:rsid w:val="00154A36"/>
    <w:rsid w:val="00157001"/>
    <w:rsid w:val="0016265A"/>
    <w:rsid w:val="00162EA9"/>
    <w:rsid w:val="00164552"/>
    <w:rsid w:val="00165358"/>
    <w:rsid w:val="00171391"/>
    <w:rsid w:val="00173737"/>
    <w:rsid w:val="00173787"/>
    <w:rsid w:val="0017452F"/>
    <w:rsid w:val="001879A0"/>
    <w:rsid w:val="00195574"/>
    <w:rsid w:val="001A0A70"/>
    <w:rsid w:val="001A445F"/>
    <w:rsid w:val="001A6A9C"/>
    <w:rsid w:val="001A7CEF"/>
    <w:rsid w:val="001B0465"/>
    <w:rsid w:val="001B3834"/>
    <w:rsid w:val="001D6D25"/>
    <w:rsid w:val="001D7669"/>
    <w:rsid w:val="001D7D13"/>
    <w:rsid w:val="001E5EB6"/>
    <w:rsid w:val="001E640E"/>
    <w:rsid w:val="001F16BF"/>
    <w:rsid w:val="001F681B"/>
    <w:rsid w:val="001F6E35"/>
    <w:rsid w:val="002038AE"/>
    <w:rsid w:val="00207F45"/>
    <w:rsid w:val="002119E6"/>
    <w:rsid w:val="00222016"/>
    <w:rsid w:val="00224431"/>
    <w:rsid w:val="00224EFE"/>
    <w:rsid w:val="0022511D"/>
    <w:rsid w:val="00231F84"/>
    <w:rsid w:val="00233117"/>
    <w:rsid w:val="00234584"/>
    <w:rsid w:val="00237959"/>
    <w:rsid w:val="00240611"/>
    <w:rsid w:val="00240656"/>
    <w:rsid w:val="00242B82"/>
    <w:rsid w:val="002476E6"/>
    <w:rsid w:val="00250FBF"/>
    <w:rsid w:val="0025550F"/>
    <w:rsid w:val="0025673E"/>
    <w:rsid w:val="002665A7"/>
    <w:rsid w:val="00272AF4"/>
    <w:rsid w:val="00272D2F"/>
    <w:rsid w:val="002731A7"/>
    <w:rsid w:val="00275310"/>
    <w:rsid w:val="002764CE"/>
    <w:rsid w:val="002826E9"/>
    <w:rsid w:val="002874CA"/>
    <w:rsid w:val="00287B8C"/>
    <w:rsid w:val="00294079"/>
    <w:rsid w:val="0029512A"/>
    <w:rsid w:val="00296052"/>
    <w:rsid w:val="002A283E"/>
    <w:rsid w:val="002B1CFC"/>
    <w:rsid w:val="002B20D6"/>
    <w:rsid w:val="002B24D2"/>
    <w:rsid w:val="002C72C4"/>
    <w:rsid w:val="002D2639"/>
    <w:rsid w:val="002D541B"/>
    <w:rsid w:val="002D573E"/>
    <w:rsid w:val="002D74C9"/>
    <w:rsid w:val="002D79DD"/>
    <w:rsid w:val="002E1499"/>
    <w:rsid w:val="002E1639"/>
    <w:rsid w:val="002E3907"/>
    <w:rsid w:val="002F2FD4"/>
    <w:rsid w:val="002F4D0B"/>
    <w:rsid w:val="00301218"/>
    <w:rsid w:val="003014D2"/>
    <w:rsid w:val="0030172E"/>
    <w:rsid w:val="00312607"/>
    <w:rsid w:val="00313B56"/>
    <w:rsid w:val="00313E1B"/>
    <w:rsid w:val="003157FF"/>
    <w:rsid w:val="0032234E"/>
    <w:rsid w:val="00324086"/>
    <w:rsid w:val="00324C40"/>
    <w:rsid w:val="00326A01"/>
    <w:rsid w:val="00327EE4"/>
    <w:rsid w:val="00332690"/>
    <w:rsid w:val="0033415A"/>
    <w:rsid w:val="00337A15"/>
    <w:rsid w:val="00340CFC"/>
    <w:rsid w:val="00341ACE"/>
    <w:rsid w:val="00357C5C"/>
    <w:rsid w:val="003617DF"/>
    <w:rsid w:val="00366F2F"/>
    <w:rsid w:val="0037009E"/>
    <w:rsid w:val="00386326"/>
    <w:rsid w:val="003948BA"/>
    <w:rsid w:val="00397D7B"/>
    <w:rsid w:val="003A1945"/>
    <w:rsid w:val="003A713E"/>
    <w:rsid w:val="003B1976"/>
    <w:rsid w:val="003B3BD7"/>
    <w:rsid w:val="003B6774"/>
    <w:rsid w:val="003B6D7D"/>
    <w:rsid w:val="003C0314"/>
    <w:rsid w:val="003D169A"/>
    <w:rsid w:val="003D76A9"/>
    <w:rsid w:val="003E1629"/>
    <w:rsid w:val="00401979"/>
    <w:rsid w:val="0040259F"/>
    <w:rsid w:val="00402D15"/>
    <w:rsid w:val="0040429A"/>
    <w:rsid w:val="00406320"/>
    <w:rsid w:val="00406A24"/>
    <w:rsid w:val="004079A3"/>
    <w:rsid w:val="004142FE"/>
    <w:rsid w:val="00422DD6"/>
    <w:rsid w:val="0043218A"/>
    <w:rsid w:val="00434424"/>
    <w:rsid w:val="00434985"/>
    <w:rsid w:val="00435106"/>
    <w:rsid w:val="0044149A"/>
    <w:rsid w:val="00445CF6"/>
    <w:rsid w:val="00447417"/>
    <w:rsid w:val="00452737"/>
    <w:rsid w:val="0046121A"/>
    <w:rsid w:val="0046152E"/>
    <w:rsid w:val="004627EF"/>
    <w:rsid w:val="004712B1"/>
    <w:rsid w:val="004724FC"/>
    <w:rsid w:val="00472C9B"/>
    <w:rsid w:val="00473751"/>
    <w:rsid w:val="0047584B"/>
    <w:rsid w:val="0048563C"/>
    <w:rsid w:val="00490A74"/>
    <w:rsid w:val="0049106D"/>
    <w:rsid w:val="00493098"/>
    <w:rsid w:val="00495098"/>
    <w:rsid w:val="004B6F7A"/>
    <w:rsid w:val="004C174A"/>
    <w:rsid w:val="004C1DD8"/>
    <w:rsid w:val="004C32C5"/>
    <w:rsid w:val="004E25B9"/>
    <w:rsid w:val="004E7AD1"/>
    <w:rsid w:val="004F19F9"/>
    <w:rsid w:val="004F3E83"/>
    <w:rsid w:val="004F4BB9"/>
    <w:rsid w:val="004F5E92"/>
    <w:rsid w:val="0050505C"/>
    <w:rsid w:val="00507FA2"/>
    <w:rsid w:val="00510DB3"/>
    <w:rsid w:val="00512548"/>
    <w:rsid w:val="0052280C"/>
    <w:rsid w:val="00525059"/>
    <w:rsid w:val="00531980"/>
    <w:rsid w:val="00533770"/>
    <w:rsid w:val="00540114"/>
    <w:rsid w:val="00543F12"/>
    <w:rsid w:val="00545508"/>
    <w:rsid w:val="0056264F"/>
    <w:rsid w:val="005851C1"/>
    <w:rsid w:val="0059144A"/>
    <w:rsid w:val="005946D6"/>
    <w:rsid w:val="005A0268"/>
    <w:rsid w:val="005A03AE"/>
    <w:rsid w:val="005A1347"/>
    <w:rsid w:val="005A71B8"/>
    <w:rsid w:val="005B5D8D"/>
    <w:rsid w:val="005B7F9B"/>
    <w:rsid w:val="005C325A"/>
    <w:rsid w:val="005C428D"/>
    <w:rsid w:val="005C5A93"/>
    <w:rsid w:val="005C5E59"/>
    <w:rsid w:val="005D0461"/>
    <w:rsid w:val="005D0975"/>
    <w:rsid w:val="005D21EC"/>
    <w:rsid w:val="005D24A7"/>
    <w:rsid w:val="005D5DB7"/>
    <w:rsid w:val="005E2B57"/>
    <w:rsid w:val="005E5B48"/>
    <w:rsid w:val="005F07B8"/>
    <w:rsid w:val="00602208"/>
    <w:rsid w:val="006026E4"/>
    <w:rsid w:val="0061112B"/>
    <w:rsid w:val="00616C3A"/>
    <w:rsid w:val="0062205A"/>
    <w:rsid w:val="0062265C"/>
    <w:rsid w:val="0062463D"/>
    <w:rsid w:val="0063051E"/>
    <w:rsid w:val="00644C51"/>
    <w:rsid w:val="006520BE"/>
    <w:rsid w:val="006522DA"/>
    <w:rsid w:val="00653357"/>
    <w:rsid w:val="006540B6"/>
    <w:rsid w:val="00660627"/>
    <w:rsid w:val="00672779"/>
    <w:rsid w:val="00672A1C"/>
    <w:rsid w:val="00674DF2"/>
    <w:rsid w:val="00676C1E"/>
    <w:rsid w:val="00677D25"/>
    <w:rsid w:val="006815F1"/>
    <w:rsid w:val="00682377"/>
    <w:rsid w:val="00682C98"/>
    <w:rsid w:val="0069212A"/>
    <w:rsid w:val="006A15B6"/>
    <w:rsid w:val="006A64D5"/>
    <w:rsid w:val="006C07B9"/>
    <w:rsid w:val="006C1C56"/>
    <w:rsid w:val="006C7340"/>
    <w:rsid w:val="006E02EC"/>
    <w:rsid w:val="006F05D2"/>
    <w:rsid w:val="006F1159"/>
    <w:rsid w:val="006F1F55"/>
    <w:rsid w:val="006F417A"/>
    <w:rsid w:val="0070181A"/>
    <w:rsid w:val="0070203B"/>
    <w:rsid w:val="00706626"/>
    <w:rsid w:val="007136AD"/>
    <w:rsid w:val="007227C1"/>
    <w:rsid w:val="00725249"/>
    <w:rsid w:val="007266A0"/>
    <w:rsid w:val="00726AA7"/>
    <w:rsid w:val="007453FE"/>
    <w:rsid w:val="0075128B"/>
    <w:rsid w:val="00752E0F"/>
    <w:rsid w:val="00757A89"/>
    <w:rsid w:val="007603D5"/>
    <w:rsid w:val="0076137E"/>
    <w:rsid w:val="00763D7A"/>
    <w:rsid w:val="00765E07"/>
    <w:rsid w:val="00772D2D"/>
    <w:rsid w:val="00776C03"/>
    <w:rsid w:val="0079027A"/>
    <w:rsid w:val="00790704"/>
    <w:rsid w:val="00792244"/>
    <w:rsid w:val="007A04BF"/>
    <w:rsid w:val="007A7E95"/>
    <w:rsid w:val="007B3E83"/>
    <w:rsid w:val="007C461F"/>
    <w:rsid w:val="007C4D3F"/>
    <w:rsid w:val="007E1587"/>
    <w:rsid w:val="007E2E50"/>
    <w:rsid w:val="007E4183"/>
    <w:rsid w:val="007F0F02"/>
    <w:rsid w:val="007F3C2B"/>
    <w:rsid w:val="008073B4"/>
    <w:rsid w:val="00813EFE"/>
    <w:rsid w:val="00814043"/>
    <w:rsid w:val="0081508A"/>
    <w:rsid w:val="00820BF8"/>
    <w:rsid w:val="00824E9F"/>
    <w:rsid w:val="00826DE2"/>
    <w:rsid w:val="00833995"/>
    <w:rsid w:val="008353B2"/>
    <w:rsid w:val="008355F4"/>
    <w:rsid w:val="00840779"/>
    <w:rsid w:val="0084571C"/>
    <w:rsid w:val="008462CB"/>
    <w:rsid w:val="00853FBA"/>
    <w:rsid w:val="008576F7"/>
    <w:rsid w:val="00861927"/>
    <w:rsid w:val="0086274F"/>
    <w:rsid w:val="008715B3"/>
    <w:rsid w:val="00876114"/>
    <w:rsid w:val="00880CA8"/>
    <w:rsid w:val="00883092"/>
    <w:rsid w:val="0088431B"/>
    <w:rsid w:val="00885C73"/>
    <w:rsid w:val="00887703"/>
    <w:rsid w:val="008A3259"/>
    <w:rsid w:val="008A4478"/>
    <w:rsid w:val="008B170E"/>
    <w:rsid w:val="008B20D9"/>
    <w:rsid w:val="008B5F7A"/>
    <w:rsid w:val="008C3B03"/>
    <w:rsid w:val="008C55E1"/>
    <w:rsid w:val="008D0B58"/>
    <w:rsid w:val="008D18CD"/>
    <w:rsid w:val="008E7961"/>
    <w:rsid w:val="008E7BCF"/>
    <w:rsid w:val="008F2C56"/>
    <w:rsid w:val="008F4880"/>
    <w:rsid w:val="00902649"/>
    <w:rsid w:val="009072E5"/>
    <w:rsid w:val="00911756"/>
    <w:rsid w:val="009126A1"/>
    <w:rsid w:val="00924A5F"/>
    <w:rsid w:val="0092641D"/>
    <w:rsid w:val="00936A08"/>
    <w:rsid w:val="0094376D"/>
    <w:rsid w:val="00947CC9"/>
    <w:rsid w:val="00954245"/>
    <w:rsid w:val="00961C7D"/>
    <w:rsid w:val="009636F0"/>
    <w:rsid w:val="00963922"/>
    <w:rsid w:val="00970FE1"/>
    <w:rsid w:val="00976F47"/>
    <w:rsid w:val="00977139"/>
    <w:rsid w:val="009845B1"/>
    <w:rsid w:val="00985F60"/>
    <w:rsid w:val="00991428"/>
    <w:rsid w:val="009966C0"/>
    <w:rsid w:val="009974C9"/>
    <w:rsid w:val="009A1D84"/>
    <w:rsid w:val="009A77F6"/>
    <w:rsid w:val="009B2819"/>
    <w:rsid w:val="009B5137"/>
    <w:rsid w:val="009C3965"/>
    <w:rsid w:val="009C5139"/>
    <w:rsid w:val="009C5253"/>
    <w:rsid w:val="009C5DF2"/>
    <w:rsid w:val="009D2033"/>
    <w:rsid w:val="009D529C"/>
    <w:rsid w:val="009D53A3"/>
    <w:rsid w:val="009D5EDB"/>
    <w:rsid w:val="009D6E99"/>
    <w:rsid w:val="009E4683"/>
    <w:rsid w:val="009F0536"/>
    <w:rsid w:val="009F2E76"/>
    <w:rsid w:val="009F3DF9"/>
    <w:rsid w:val="009F664F"/>
    <w:rsid w:val="00A002A6"/>
    <w:rsid w:val="00A06A09"/>
    <w:rsid w:val="00A13242"/>
    <w:rsid w:val="00A145EA"/>
    <w:rsid w:val="00A25958"/>
    <w:rsid w:val="00A259E7"/>
    <w:rsid w:val="00A34D4D"/>
    <w:rsid w:val="00A35B58"/>
    <w:rsid w:val="00A45707"/>
    <w:rsid w:val="00A5186A"/>
    <w:rsid w:val="00A67E3D"/>
    <w:rsid w:val="00A80C9C"/>
    <w:rsid w:val="00A90C89"/>
    <w:rsid w:val="00A96E38"/>
    <w:rsid w:val="00AA019C"/>
    <w:rsid w:val="00AA13F5"/>
    <w:rsid w:val="00AA1B88"/>
    <w:rsid w:val="00AA2C24"/>
    <w:rsid w:val="00AA2D4B"/>
    <w:rsid w:val="00AA7C33"/>
    <w:rsid w:val="00AB3123"/>
    <w:rsid w:val="00AB4FFA"/>
    <w:rsid w:val="00AC367D"/>
    <w:rsid w:val="00AC40F8"/>
    <w:rsid w:val="00AC54E3"/>
    <w:rsid w:val="00AC705B"/>
    <w:rsid w:val="00AD379F"/>
    <w:rsid w:val="00AE2DFF"/>
    <w:rsid w:val="00AE5A36"/>
    <w:rsid w:val="00AE6358"/>
    <w:rsid w:val="00AE657A"/>
    <w:rsid w:val="00AF03EB"/>
    <w:rsid w:val="00AF48F8"/>
    <w:rsid w:val="00AF572F"/>
    <w:rsid w:val="00AF6BDC"/>
    <w:rsid w:val="00B13FE4"/>
    <w:rsid w:val="00B17942"/>
    <w:rsid w:val="00B200A1"/>
    <w:rsid w:val="00B249AC"/>
    <w:rsid w:val="00B30F98"/>
    <w:rsid w:val="00B41C5C"/>
    <w:rsid w:val="00B45DBA"/>
    <w:rsid w:val="00B47515"/>
    <w:rsid w:val="00B512CB"/>
    <w:rsid w:val="00B522BD"/>
    <w:rsid w:val="00B55267"/>
    <w:rsid w:val="00B5530E"/>
    <w:rsid w:val="00B7104B"/>
    <w:rsid w:val="00B84555"/>
    <w:rsid w:val="00B94483"/>
    <w:rsid w:val="00B94AB7"/>
    <w:rsid w:val="00BB24F4"/>
    <w:rsid w:val="00BC576E"/>
    <w:rsid w:val="00BC6740"/>
    <w:rsid w:val="00BC7057"/>
    <w:rsid w:val="00BD29B0"/>
    <w:rsid w:val="00BE4409"/>
    <w:rsid w:val="00C00C9F"/>
    <w:rsid w:val="00C20C95"/>
    <w:rsid w:val="00C21C78"/>
    <w:rsid w:val="00C2246D"/>
    <w:rsid w:val="00C250E3"/>
    <w:rsid w:val="00C27231"/>
    <w:rsid w:val="00C31F5B"/>
    <w:rsid w:val="00C340F2"/>
    <w:rsid w:val="00C358ED"/>
    <w:rsid w:val="00C52AE4"/>
    <w:rsid w:val="00C569CC"/>
    <w:rsid w:val="00C57E27"/>
    <w:rsid w:val="00C62FA1"/>
    <w:rsid w:val="00C639B1"/>
    <w:rsid w:val="00C73E29"/>
    <w:rsid w:val="00C87F94"/>
    <w:rsid w:val="00C92804"/>
    <w:rsid w:val="00C92819"/>
    <w:rsid w:val="00C95155"/>
    <w:rsid w:val="00C95432"/>
    <w:rsid w:val="00CA2698"/>
    <w:rsid w:val="00CB2476"/>
    <w:rsid w:val="00CB53C7"/>
    <w:rsid w:val="00CB587F"/>
    <w:rsid w:val="00CD043A"/>
    <w:rsid w:val="00CD6F2F"/>
    <w:rsid w:val="00CE5D84"/>
    <w:rsid w:val="00CF7208"/>
    <w:rsid w:val="00D07261"/>
    <w:rsid w:val="00D076EF"/>
    <w:rsid w:val="00D11262"/>
    <w:rsid w:val="00D1325C"/>
    <w:rsid w:val="00D14DFC"/>
    <w:rsid w:val="00D16BEC"/>
    <w:rsid w:val="00D30116"/>
    <w:rsid w:val="00D30AE2"/>
    <w:rsid w:val="00D34715"/>
    <w:rsid w:val="00D359C2"/>
    <w:rsid w:val="00D5162D"/>
    <w:rsid w:val="00D56B63"/>
    <w:rsid w:val="00D60581"/>
    <w:rsid w:val="00D608E4"/>
    <w:rsid w:val="00D6388E"/>
    <w:rsid w:val="00D662B2"/>
    <w:rsid w:val="00D662E2"/>
    <w:rsid w:val="00D73CFC"/>
    <w:rsid w:val="00D75B77"/>
    <w:rsid w:val="00D811CB"/>
    <w:rsid w:val="00D8298C"/>
    <w:rsid w:val="00D840FF"/>
    <w:rsid w:val="00D84A7B"/>
    <w:rsid w:val="00D94AD9"/>
    <w:rsid w:val="00DA26EE"/>
    <w:rsid w:val="00DB0422"/>
    <w:rsid w:val="00DB1A80"/>
    <w:rsid w:val="00DB408A"/>
    <w:rsid w:val="00DC0D0E"/>
    <w:rsid w:val="00DC10F0"/>
    <w:rsid w:val="00DC161C"/>
    <w:rsid w:val="00DD075C"/>
    <w:rsid w:val="00DD321C"/>
    <w:rsid w:val="00DD6E1B"/>
    <w:rsid w:val="00DD74FF"/>
    <w:rsid w:val="00DF2332"/>
    <w:rsid w:val="00DF2C33"/>
    <w:rsid w:val="00DF462E"/>
    <w:rsid w:val="00DF4903"/>
    <w:rsid w:val="00E037DC"/>
    <w:rsid w:val="00E07404"/>
    <w:rsid w:val="00E07C4D"/>
    <w:rsid w:val="00E31B52"/>
    <w:rsid w:val="00E32154"/>
    <w:rsid w:val="00E36E51"/>
    <w:rsid w:val="00E4084C"/>
    <w:rsid w:val="00E53B8E"/>
    <w:rsid w:val="00E554BF"/>
    <w:rsid w:val="00E564B4"/>
    <w:rsid w:val="00E567AF"/>
    <w:rsid w:val="00E5725D"/>
    <w:rsid w:val="00E60567"/>
    <w:rsid w:val="00E670CF"/>
    <w:rsid w:val="00E71A14"/>
    <w:rsid w:val="00E71B5A"/>
    <w:rsid w:val="00E83CD2"/>
    <w:rsid w:val="00E8720D"/>
    <w:rsid w:val="00E92373"/>
    <w:rsid w:val="00EA3704"/>
    <w:rsid w:val="00EA7834"/>
    <w:rsid w:val="00EB4BB5"/>
    <w:rsid w:val="00EB5255"/>
    <w:rsid w:val="00EB6EE9"/>
    <w:rsid w:val="00EB7C8B"/>
    <w:rsid w:val="00EC0AB1"/>
    <w:rsid w:val="00EC5123"/>
    <w:rsid w:val="00EC7007"/>
    <w:rsid w:val="00ED22CE"/>
    <w:rsid w:val="00ED37FA"/>
    <w:rsid w:val="00ED4DF6"/>
    <w:rsid w:val="00EE5F9C"/>
    <w:rsid w:val="00EE6066"/>
    <w:rsid w:val="00F12DE3"/>
    <w:rsid w:val="00F137A1"/>
    <w:rsid w:val="00F145EC"/>
    <w:rsid w:val="00F16035"/>
    <w:rsid w:val="00F17DA3"/>
    <w:rsid w:val="00F22F9B"/>
    <w:rsid w:val="00F230E1"/>
    <w:rsid w:val="00F2354A"/>
    <w:rsid w:val="00F400E3"/>
    <w:rsid w:val="00F42B2E"/>
    <w:rsid w:val="00F4539B"/>
    <w:rsid w:val="00F4682B"/>
    <w:rsid w:val="00F579EB"/>
    <w:rsid w:val="00F62539"/>
    <w:rsid w:val="00F6630C"/>
    <w:rsid w:val="00F704D5"/>
    <w:rsid w:val="00F76A6C"/>
    <w:rsid w:val="00F810B4"/>
    <w:rsid w:val="00F901D2"/>
    <w:rsid w:val="00F90493"/>
    <w:rsid w:val="00F93820"/>
    <w:rsid w:val="00F96B93"/>
    <w:rsid w:val="00F96FC9"/>
    <w:rsid w:val="00FA12A0"/>
    <w:rsid w:val="00FB0549"/>
    <w:rsid w:val="00FB3EED"/>
    <w:rsid w:val="00FB79CE"/>
    <w:rsid w:val="00FC0D2E"/>
    <w:rsid w:val="00FC3494"/>
    <w:rsid w:val="00FC4D98"/>
    <w:rsid w:val="00FC4FEF"/>
    <w:rsid w:val="00FC5219"/>
    <w:rsid w:val="00FC67D4"/>
    <w:rsid w:val="00FC7C00"/>
    <w:rsid w:val="00FD368A"/>
    <w:rsid w:val="00FD4CF7"/>
    <w:rsid w:val="00FE2847"/>
    <w:rsid w:val="00FF1997"/>
    <w:rsid w:val="00FF5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qFormat/>
    <w:pPr>
      <w:spacing w:before="10"/>
      <w:ind w:left="40"/>
      <w:outlineLvl w:val="0"/>
    </w:pPr>
    <w:rPr>
      <w:sz w:val="24"/>
      <w:szCs w:val="24"/>
    </w:rPr>
  </w:style>
  <w:style w:type="paragraph" w:styleId="Heading2">
    <w:name w:val="heading 2"/>
    <w:basedOn w:val="Normal"/>
    <w:link w:val="Heading2Char"/>
    <w:qFormat/>
    <w:pPr>
      <w:ind w:left="1155"/>
      <w:outlineLvl w:val="1"/>
    </w:pPr>
    <w:rPr>
      <w:b/>
      <w:bCs/>
    </w:rPr>
  </w:style>
  <w:style w:type="paragraph" w:styleId="Heading3">
    <w:name w:val="heading 3"/>
    <w:basedOn w:val="Normal"/>
    <w:link w:val="Heading3Char"/>
    <w:qFormat/>
    <w:pPr>
      <w:ind w:left="1501" w:hanging="1352"/>
      <w:outlineLvl w:val="2"/>
    </w:pPr>
    <w:rPr>
      <w:b/>
      <w:bCs/>
      <w:i/>
    </w:rPr>
  </w:style>
  <w:style w:type="paragraph" w:styleId="Heading4">
    <w:name w:val="heading 4"/>
    <w:basedOn w:val="Normal"/>
    <w:link w:val="Heading4Char"/>
    <w:qFormat/>
    <w:pPr>
      <w:ind w:left="1191"/>
      <w:outlineLvl w:val="3"/>
    </w:pPr>
  </w:style>
  <w:style w:type="paragraph" w:styleId="Heading5">
    <w:name w:val="heading 5"/>
    <w:basedOn w:val="Normal"/>
    <w:link w:val="Heading5Char"/>
    <w:qFormat/>
    <w:pPr>
      <w:ind w:left="1640" w:hanging="720"/>
      <w:outlineLvl w:val="4"/>
    </w:pPr>
    <w:rPr>
      <w:b/>
      <w:bCs/>
      <w:sz w:val="20"/>
      <w:szCs w:val="20"/>
    </w:rPr>
  </w:style>
  <w:style w:type="paragraph" w:styleId="Heading6">
    <w:name w:val="heading 6"/>
    <w:basedOn w:val="Normal"/>
    <w:next w:val="Normal"/>
    <w:link w:val="Heading6Char"/>
    <w:qFormat/>
    <w:rsid w:val="00E92373"/>
    <w:pPr>
      <w:widowControl/>
      <w:tabs>
        <w:tab w:val="num" w:pos="1152"/>
      </w:tabs>
      <w:autoSpaceDE/>
      <w:autoSpaceDN/>
      <w:spacing w:before="240" w:after="60"/>
      <w:ind w:left="1152" w:hanging="1152"/>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E92373"/>
    <w:pPr>
      <w:widowControl/>
      <w:tabs>
        <w:tab w:val="num" w:pos="1296"/>
      </w:tabs>
      <w:autoSpaceDE/>
      <w:autoSpaceDN/>
      <w:spacing w:before="240" w:after="60"/>
      <w:ind w:left="1296" w:hanging="1296"/>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E92373"/>
    <w:pPr>
      <w:widowControl/>
      <w:tabs>
        <w:tab w:val="num" w:pos="1440"/>
      </w:tabs>
      <w:autoSpaceDE/>
      <w:autoSpaceDN/>
      <w:spacing w:before="240" w:after="60"/>
      <w:ind w:left="1440" w:hanging="1440"/>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E92373"/>
    <w:pPr>
      <w:widowControl/>
      <w:tabs>
        <w:tab w:val="num" w:pos="1584"/>
      </w:tabs>
      <w:autoSpaceDE/>
      <w:autoSpaceDN/>
      <w:spacing w:before="240" w:after="60"/>
      <w:ind w:left="1584" w:hanging="1584"/>
      <w:outlineLvl w:val="8"/>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640" w:hanging="1080"/>
    </w:pPr>
    <w:rPr>
      <w:rFonts w:ascii="Times New Roman" w:eastAsia="Times New Roman" w:hAnsi="Times New Roman" w:cs="Times New Roman"/>
      <w:b/>
      <w:bCs/>
      <w:sz w:val="20"/>
      <w:szCs w:val="20"/>
    </w:rPr>
  </w:style>
  <w:style w:type="paragraph" w:styleId="TOC2">
    <w:name w:val="toc 2"/>
    <w:basedOn w:val="Normal"/>
    <w:uiPriority w:val="1"/>
    <w:qFormat/>
    <w:pPr>
      <w:ind w:left="1621" w:hanging="1061"/>
    </w:pPr>
    <w:rPr>
      <w:rFonts w:ascii="Times New Roman" w:eastAsia="Times New Roman" w:hAnsi="Times New Roman" w:cs="Times New Roman"/>
      <w:sz w:val="20"/>
      <w:szCs w:val="20"/>
    </w:rPr>
  </w:style>
  <w:style w:type="paragraph" w:styleId="BodyText">
    <w:name w:val="Body Text"/>
    <w:basedOn w:val="Normal"/>
    <w:link w:val="BodyTextChar"/>
    <w:qFormat/>
    <w:rPr>
      <w:sz w:val="20"/>
      <w:szCs w:val="20"/>
    </w:rPr>
  </w:style>
  <w:style w:type="paragraph" w:styleId="ListParagraph">
    <w:name w:val="List Paragraph"/>
    <w:basedOn w:val="Normal"/>
    <w:link w:val="ListParagraphChar"/>
    <w:uiPriority w:val="34"/>
    <w:qFormat/>
    <w:pPr>
      <w:ind w:left="1640" w:hanging="72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54245"/>
    <w:rPr>
      <w:rFonts w:ascii="Tahoma" w:hAnsi="Tahoma" w:cs="Tahoma"/>
      <w:sz w:val="16"/>
      <w:szCs w:val="16"/>
    </w:rPr>
  </w:style>
  <w:style w:type="character" w:customStyle="1" w:styleId="BalloonTextChar">
    <w:name w:val="Balloon Text Char"/>
    <w:basedOn w:val="DefaultParagraphFont"/>
    <w:link w:val="BalloonText"/>
    <w:uiPriority w:val="99"/>
    <w:semiHidden/>
    <w:rsid w:val="00954245"/>
    <w:rPr>
      <w:rFonts w:ascii="Tahoma" w:eastAsia="Arial" w:hAnsi="Tahoma" w:cs="Tahoma"/>
      <w:sz w:val="16"/>
      <w:szCs w:val="16"/>
      <w:lang w:bidi="en-US"/>
    </w:rPr>
  </w:style>
  <w:style w:type="paragraph" w:styleId="NormalWeb">
    <w:name w:val="Normal (Web)"/>
    <w:basedOn w:val="Normal"/>
    <w:uiPriority w:val="99"/>
    <w:rsid w:val="00E92373"/>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character" w:customStyle="1" w:styleId="Heading6Char">
    <w:name w:val="Heading 6 Char"/>
    <w:basedOn w:val="DefaultParagraphFont"/>
    <w:link w:val="Heading6"/>
    <w:rsid w:val="00E92373"/>
    <w:rPr>
      <w:rFonts w:ascii="Times New Roman" w:eastAsia="Times New Roman" w:hAnsi="Times New Roman" w:cs="Times New Roman"/>
      <w:b/>
      <w:bCs/>
    </w:rPr>
  </w:style>
  <w:style w:type="character" w:customStyle="1" w:styleId="Heading7Char">
    <w:name w:val="Heading 7 Char"/>
    <w:basedOn w:val="DefaultParagraphFont"/>
    <w:link w:val="Heading7"/>
    <w:rsid w:val="00E9237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23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2373"/>
    <w:rPr>
      <w:rFonts w:ascii="Arial" w:eastAsia="Times New Roman" w:hAnsi="Arial" w:cs="Arial"/>
    </w:rPr>
  </w:style>
  <w:style w:type="paragraph" w:customStyle="1" w:styleId="Default">
    <w:name w:val="Default"/>
    <w:rsid w:val="00E92373"/>
    <w:pPr>
      <w:widowControl/>
      <w:adjustRightInd w:val="0"/>
    </w:pPr>
    <w:rPr>
      <w:rFonts w:ascii="Calibri" w:hAnsi="Calibri" w:cs="Calibri"/>
      <w:color w:val="000000"/>
      <w:sz w:val="24"/>
      <w:szCs w:val="24"/>
    </w:rPr>
  </w:style>
  <w:style w:type="character" w:styleId="CommentReference">
    <w:name w:val="annotation reference"/>
    <w:basedOn w:val="DefaultParagraphFont"/>
    <w:unhideWhenUsed/>
    <w:rsid w:val="00E92373"/>
    <w:rPr>
      <w:sz w:val="16"/>
      <w:szCs w:val="16"/>
    </w:rPr>
  </w:style>
  <w:style w:type="paragraph" w:styleId="CommentText">
    <w:name w:val="annotation text"/>
    <w:basedOn w:val="Normal"/>
    <w:link w:val="CommentTextChar"/>
    <w:unhideWhenUsed/>
    <w:rsid w:val="00E92373"/>
    <w:pPr>
      <w:autoSpaceDE/>
      <w:autoSpaceDN/>
    </w:pPr>
    <w:rPr>
      <w:sz w:val="20"/>
      <w:szCs w:val="20"/>
      <w:lang w:bidi="ar-SA"/>
    </w:rPr>
  </w:style>
  <w:style w:type="character" w:customStyle="1" w:styleId="CommentTextChar">
    <w:name w:val="Comment Text Char"/>
    <w:basedOn w:val="DefaultParagraphFont"/>
    <w:link w:val="CommentText"/>
    <w:uiPriority w:val="99"/>
    <w:rsid w:val="00E923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2373"/>
    <w:rPr>
      <w:b/>
      <w:bCs/>
    </w:rPr>
  </w:style>
  <w:style w:type="character" w:customStyle="1" w:styleId="CommentSubjectChar">
    <w:name w:val="Comment Subject Char"/>
    <w:basedOn w:val="CommentTextChar"/>
    <w:link w:val="CommentSubject"/>
    <w:uiPriority w:val="99"/>
    <w:semiHidden/>
    <w:rsid w:val="00E92373"/>
    <w:rPr>
      <w:rFonts w:ascii="Arial" w:eastAsia="Arial" w:hAnsi="Arial" w:cs="Arial"/>
      <w:b/>
      <w:bCs/>
      <w:sz w:val="20"/>
      <w:szCs w:val="20"/>
    </w:rPr>
  </w:style>
  <w:style w:type="paragraph" w:styleId="NoSpacing">
    <w:name w:val="No Spacing"/>
    <w:uiPriority w:val="1"/>
    <w:qFormat/>
    <w:rsid w:val="00E92373"/>
    <w:pPr>
      <w:widowControl/>
      <w:autoSpaceDE/>
      <w:autoSpaceDN/>
    </w:pPr>
    <w:rPr>
      <w:rFonts w:ascii="Times New Roman" w:eastAsia="Times New Roman" w:hAnsi="Times New Roman" w:cs="Times New Roman"/>
      <w:sz w:val="24"/>
      <w:szCs w:val="24"/>
    </w:rPr>
  </w:style>
  <w:style w:type="paragraph" w:styleId="BodyText2">
    <w:name w:val="Body Text 2"/>
    <w:basedOn w:val="Normal"/>
    <w:link w:val="BodyText2Char"/>
    <w:rsid w:val="00E92373"/>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rsid w:val="00E92373"/>
    <w:rPr>
      <w:rFonts w:ascii="Times New Roman" w:eastAsia="Times New Roman" w:hAnsi="Times New Roman" w:cs="Times New Roman"/>
      <w:sz w:val="24"/>
      <w:szCs w:val="24"/>
      <w:lang w:val="x-none" w:eastAsia="x-none"/>
    </w:rPr>
  </w:style>
  <w:style w:type="paragraph" w:customStyle="1" w:styleId="CM3">
    <w:name w:val="CM3"/>
    <w:basedOn w:val="Normal"/>
    <w:next w:val="Normal"/>
    <w:uiPriority w:val="99"/>
    <w:rsid w:val="00E92373"/>
    <w:pPr>
      <w:adjustRightInd w:val="0"/>
    </w:pPr>
    <w:rPr>
      <w:rFonts w:ascii="MALBNN+Verdana" w:eastAsia="Times New Roman" w:hAnsi="MALBNN+Verdana" w:cs="Times New Roman"/>
      <w:b/>
      <w:bCs/>
      <w:color w:val="000000"/>
      <w:sz w:val="20"/>
      <w:szCs w:val="20"/>
      <w:lang w:bidi="ar-SA"/>
    </w:rPr>
  </w:style>
  <w:style w:type="character" w:customStyle="1" w:styleId="Heading5Char">
    <w:name w:val="Heading 5 Char"/>
    <w:basedOn w:val="DefaultParagraphFont"/>
    <w:link w:val="Heading5"/>
    <w:rsid w:val="00E92373"/>
    <w:rPr>
      <w:rFonts w:ascii="Arial" w:eastAsia="Arial" w:hAnsi="Arial" w:cs="Arial"/>
      <w:b/>
      <w:bCs/>
      <w:sz w:val="20"/>
      <w:szCs w:val="20"/>
      <w:lang w:bidi="en-US"/>
    </w:rPr>
  </w:style>
  <w:style w:type="numbering" w:customStyle="1" w:styleId="NoList1">
    <w:name w:val="No List1"/>
    <w:next w:val="NoList"/>
    <w:uiPriority w:val="99"/>
    <w:semiHidden/>
    <w:rsid w:val="00E92373"/>
  </w:style>
  <w:style w:type="table" w:styleId="TableGrid">
    <w:name w:val="Table Grid"/>
    <w:basedOn w:val="TableNormal"/>
    <w:rsid w:val="00E9237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E92373"/>
    <w:rPr>
      <w:rFonts w:ascii="Times New Roman" w:eastAsia="Times New Roman" w:hAnsi="Times New Roman" w:cs="Times New Roman"/>
      <w:sz w:val="24"/>
      <w:szCs w:val="24"/>
    </w:rPr>
  </w:style>
  <w:style w:type="paragraph" w:styleId="Footer">
    <w:name w:val="footer"/>
    <w:basedOn w:val="Normal"/>
    <w:link w:val="Foot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E92373"/>
    <w:rPr>
      <w:rFonts w:ascii="Times New Roman" w:eastAsia="Times New Roman" w:hAnsi="Times New Roman" w:cs="Times New Roman"/>
      <w:sz w:val="24"/>
      <w:szCs w:val="24"/>
    </w:rPr>
  </w:style>
  <w:style w:type="character" w:styleId="PageNumber">
    <w:name w:val="page number"/>
    <w:rsid w:val="00E92373"/>
    <w:rPr>
      <w:rFonts w:cs="Times New Roman"/>
    </w:rPr>
  </w:style>
  <w:style w:type="paragraph" w:customStyle="1" w:styleId="TD">
    <w:name w:val="TD"/>
    <w:basedOn w:val="Normal"/>
    <w:rsid w:val="00E92373"/>
    <w:pPr>
      <w:widowControl/>
      <w:autoSpaceDE/>
      <w:autoSpaceDN/>
    </w:pPr>
    <w:rPr>
      <w:rFonts w:ascii="Times New Roman" w:eastAsia="Times New Roman" w:hAnsi="Times New Roman" w:cs="Times New Roman"/>
      <w:b/>
      <w:bCs/>
      <w:szCs w:val="20"/>
      <w:lang w:bidi="ar-SA"/>
    </w:rPr>
  </w:style>
  <w:style w:type="paragraph" w:styleId="BodyTextIndent3">
    <w:name w:val="Body Text Indent 3"/>
    <w:basedOn w:val="Normal"/>
    <w:link w:val="BodyTextIndent3Char"/>
    <w:rsid w:val="00E92373"/>
    <w:pPr>
      <w:widowControl/>
      <w:autoSpaceDE/>
      <w:autoSpaceDN/>
      <w:ind w:left="36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E9237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92373"/>
    <w:pPr>
      <w:widowControl/>
      <w:autoSpaceDE/>
      <w:autoSpaceDN/>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E92373"/>
    <w:rPr>
      <w:rFonts w:ascii="Times New Roman" w:eastAsia="Times New Roman" w:hAnsi="Times New Roman" w:cs="Times New Roman"/>
      <w:sz w:val="24"/>
      <w:szCs w:val="24"/>
    </w:rPr>
  </w:style>
  <w:style w:type="paragraph" w:styleId="PlainText">
    <w:name w:val="Plain Text"/>
    <w:basedOn w:val="Normal"/>
    <w:link w:val="PlainTextChar"/>
    <w:rsid w:val="00E92373"/>
    <w:pPr>
      <w:widowControl/>
      <w:autoSpaceDE/>
      <w:autoSpaceDN/>
    </w:pPr>
    <w:rPr>
      <w:rFonts w:ascii="Courier New" w:eastAsia="Times New Roman" w:hAnsi="Courier New" w:cs="Wingdings"/>
      <w:sz w:val="20"/>
      <w:szCs w:val="20"/>
      <w:lang w:val="en-GB" w:bidi="ar-SA"/>
    </w:rPr>
  </w:style>
  <w:style w:type="character" w:customStyle="1" w:styleId="PlainTextChar">
    <w:name w:val="Plain Text Char"/>
    <w:basedOn w:val="DefaultParagraphFont"/>
    <w:link w:val="PlainText"/>
    <w:rsid w:val="00E92373"/>
    <w:rPr>
      <w:rFonts w:ascii="Courier New" w:eastAsia="Times New Roman" w:hAnsi="Courier New" w:cs="Wingdings"/>
      <w:sz w:val="20"/>
      <w:szCs w:val="20"/>
      <w:lang w:val="en-GB"/>
    </w:rPr>
  </w:style>
  <w:style w:type="character" w:styleId="Hyperlink">
    <w:name w:val="Hyperlink"/>
    <w:uiPriority w:val="99"/>
    <w:rsid w:val="00E92373"/>
    <w:rPr>
      <w:rFonts w:cs="Times New Roman"/>
      <w:color w:val="0000FF"/>
      <w:u w:val="single"/>
    </w:rPr>
  </w:style>
  <w:style w:type="character" w:styleId="FollowedHyperlink">
    <w:name w:val="FollowedHyperlink"/>
    <w:rsid w:val="00E92373"/>
    <w:rPr>
      <w:rFonts w:cs="Times New Roman"/>
      <w:color w:val="800080"/>
      <w:u w:val="single"/>
    </w:rPr>
  </w:style>
  <w:style w:type="paragraph" w:styleId="TOC3">
    <w:name w:val="toc 3"/>
    <w:basedOn w:val="Normal"/>
    <w:next w:val="Normal"/>
    <w:autoRedefine/>
    <w:uiPriority w:val="39"/>
    <w:qFormat/>
    <w:rsid w:val="00E92373"/>
    <w:pPr>
      <w:widowControl/>
      <w:tabs>
        <w:tab w:val="left" w:pos="720"/>
        <w:tab w:val="right" w:pos="8820"/>
      </w:tabs>
      <w:autoSpaceDE/>
      <w:autoSpaceDN/>
      <w:ind w:left="-360"/>
    </w:pPr>
    <w:rPr>
      <w:rFonts w:ascii="Times New Roman" w:eastAsia="Times New Roman" w:hAnsi="Times New Roman" w:cs="Times New Roman"/>
      <w:sz w:val="24"/>
      <w:szCs w:val="24"/>
      <w:lang w:bidi="ar-SA"/>
    </w:rPr>
  </w:style>
  <w:style w:type="paragraph" w:styleId="TOC4">
    <w:name w:val="toc 4"/>
    <w:basedOn w:val="Normal"/>
    <w:next w:val="Normal"/>
    <w:autoRedefine/>
    <w:uiPriority w:val="39"/>
    <w:rsid w:val="00E92373"/>
    <w:pPr>
      <w:widowControl/>
      <w:autoSpaceDE/>
      <w:autoSpaceDN/>
      <w:ind w:left="720"/>
    </w:pPr>
    <w:rPr>
      <w:rFonts w:ascii="Times New Roman" w:eastAsia="Times New Roman" w:hAnsi="Times New Roman" w:cs="Times New Roman"/>
      <w:sz w:val="24"/>
      <w:szCs w:val="24"/>
      <w:lang w:bidi="ar-SA"/>
    </w:rPr>
  </w:style>
  <w:style w:type="paragraph" w:styleId="TOC5">
    <w:name w:val="toc 5"/>
    <w:basedOn w:val="Normal"/>
    <w:next w:val="Normal"/>
    <w:autoRedefine/>
    <w:uiPriority w:val="39"/>
    <w:rsid w:val="00E92373"/>
    <w:pPr>
      <w:widowControl/>
      <w:autoSpaceDE/>
      <w:autoSpaceDN/>
      <w:ind w:left="960"/>
    </w:pPr>
    <w:rPr>
      <w:rFonts w:ascii="Times New Roman" w:eastAsia="Times New Roman" w:hAnsi="Times New Roman" w:cs="Times New Roman"/>
      <w:sz w:val="24"/>
      <w:szCs w:val="24"/>
      <w:lang w:bidi="ar-SA"/>
    </w:rPr>
  </w:style>
  <w:style w:type="paragraph" w:styleId="TOC6">
    <w:name w:val="toc 6"/>
    <w:basedOn w:val="Normal"/>
    <w:next w:val="Normal"/>
    <w:autoRedefine/>
    <w:uiPriority w:val="39"/>
    <w:rsid w:val="00E92373"/>
    <w:pPr>
      <w:widowControl/>
      <w:autoSpaceDE/>
      <w:autoSpaceDN/>
      <w:ind w:left="1200"/>
    </w:pPr>
    <w:rPr>
      <w:rFonts w:ascii="Times New Roman" w:eastAsia="Times New Roman" w:hAnsi="Times New Roman" w:cs="Times New Roman"/>
      <w:sz w:val="24"/>
      <w:szCs w:val="24"/>
      <w:lang w:bidi="ar-SA"/>
    </w:rPr>
  </w:style>
  <w:style w:type="paragraph" w:styleId="TOC7">
    <w:name w:val="toc 7"/>
    <w:basedOn w:val="Normal"/>
    <w:next w:val="Normal"/>
    <w:autoRedefine/>
    <w:uiPriority w:val="39"/>
    <w:rsid w:val="00E92373"/>
    <w:pPr>
      <w:widowControl/>
      <w:autoSpaceDE/>
      <w:autoSpaceDN/>
      <w:ind w:left="1440"/>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rsid w:val="00E92373"/>
    <w:pPr>
      <w:widowControl/>
      <w:autoSpaceDE/>
      <w:autoSpaceDN/>
      <w:ind w:left="1680"/>
    </w:pPr>
    <w:rPr>
      <w:rFonts w:ascii="Times New Roman" w:eastAsia="Times New Roman" w:hAnsi="Times New Roman" w:cs="Times New Roman"/>
      <w:sz w:val="24"/>
      <w:szCs w:val="24"/>
      <w:lang w:bidi="ar-SA"/>
    </w:rPr>
  </w:style>
  <w:style w:type="paragraph" w:styleId="TOC9">
    <w:name w:val="toc 9"/>
    <w:basedOn w:val="Normal"/>
    <w:next w:val="Normal"/>
    <w:autoRedefine/>
    <w:uiPriority w:val="39"/>
    <w:rsid w:val="00E92373"/>
    <w:pPr>
      <w:widowControl/>
      <w:autoSpaceDE/>
      <w:autoSpaceDN/>
      <w:ind w:left="1920"/>
    </w:pPr>
    <w:rPr>
      <w:rFonts w:ascii="Times New Roman" w:eastAsia="Times New Roman" w:hAnsi="Times New Roman" w:cs="Times New Roman"/>
      <w:sz w:val="24"/>
      <w:szCs w:val="24"/>
      <w:lang w:bidi="ar-SA"/>
    </w:rPr>
  </w:style>
  <w:style w:type="paragraph" w:customStyle="1" w:styleId="Default1">
    <w:name w:val="Default1"/>
    <w:basedOn w:val="Normal"/>
    <w:next w:val="Normal"/>
    <w:rsid w:val="00E92373"/>
    <w:pPr>
      <w:widowControl/>
      <w:adjustRightInd w:val="0"/>
    </w:pPr>
    <w:rPr>
      <w:rFonts w:ascii="Verdana" w:eastAsia="Times New Roman" w:hAnsi="Verdana" w:cs="Times New Roman"/>
      <w:sz w:val="24"/>
      <w:szCs w:val="24"/>
      <w:lang w:bidi="ar-SA"/>
    </w:rPr>
  </w:style>
  <w:style w:type="paragraph" w:customStyle="1" w:styleId="td0">
    <w:name w:val="td"/>
    <w:basedOn w:val="Normal"/>
    <w:rsid w:val="00E92373"/>
    <w:pPr>
      <w:widowControl/>
      <w:autoSpaceDE/>
      <w:autoSpaceDN/>
    </w:pPr>
    <w:rPr>
      <w:rFonts w:ascii="Times New Roman" w:eastAsia="Times New Roman" w:hAnsi="Times New Roman" w:cs="Times New Roman"/>
      <w:b/>
      <w:bCs/>
      <w:lang w:bidi="ar-SA"/>
    </w:rPr>
  </w:style>
  <w:style w:type="paragraph" w:customStyle="1" w:styleId="N">
    <w:name w:val="N"/>
    <w:basedOn w:val="Normal"/>
    <w:rsid w:val="00E92373"/>
    <w:pPr>
      <w:widowControl/>
      <w:autoSpaceDE/>
      <w:autoSpaceDN/>
    </w:pPr>
    <w:rPr>
      <w:rFonts w:ascii="Times New Roman" w:eastAsia="Times New Roman" w:hAnsi="Times New Roman" w:cs="Times New Roman"/>
      <w:b/>
      <w:sz w:val="23"/>
      <w:szCs w:val="23"/>
      <w:lang w:bidi="ar-SA"/>
    </w:rPr>
  </w:style>
  <w:style w:type="character" w:styleId="Strong">
    <w:name w:val="Strong"/>
    <w:uiPriority w:val="22"/>
    <w:qFormat/>
    <w:rsid w:val="00E92373"/>
    <w:rPr>
      <w:rFonts w:cs="Times New Roman"/>
      <w:b/>
      <w:bCs/>
    </w:rPr>
  </w:style>
  <w:style w:type="paragraph" w:customStyle="1" w:styleId="default0">
    <w:name w:val="default"/>
    <w:basedOn w:val="Normal"/>
    <w:rsid w:val="00E92373"/>
    <w:pPr>
      <w:widowControl/>
    </w:pPr>
    <w:rPr>
      <w:rFonts w:eastAsia="Times New Roman"/>
      <w:color w:val="000000"/>
      <w:sz w:val="24"/>
      <w:szCs w:val="24"/>
      <w:lang w:bidi="ar-SA"/>
    </w:rPr>
  </w:style>
  <w:style w:type="character" w:styleId="Emphasis">
    <w:name w:val="Emphasis"/>
    <w:qFormat/>
    <w:rsid w:val="00E92373"/>
    <w:rPr>
      <w:rFonts w:cs="Times New Roman"/>
      <w:b/>
      <w:bCs/>
    </w:rPr>
  </w:style>
  <w:style w:type="paragraph" w:customStyle="1" w:styleId="1">
    <w:name w:val="1"/>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1CharCharCharCharChar">
    <w:name w:val="Char1 Char Char Char Char Char"/>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Char1Char">
    <w:name w:val="Char Char1 Char"/>
    <w:basedOn w:val="Normal"/>
    <w:rsid w:val="00E92373"/>
    <w:pPr>
      <w:widowControl/>
      <w:autoSpaceDE/>
      <w:autoSpaceDN/>
    </w:pPr>
    <w:rPr>
      <w:rFonts w:ascii="Times New Roman" w:eastAsia="Times New Roman" w:hAnsi="Times New Roman" w:cs="Times New Roman"/>
      <w:sz w:val="20"/>
      <w:szCs w:val="20"/>
      <w:lang w:val="en-GB" w:bidi="ar-SA"/>
    </w:rPr>
  </w:style>
  <w:style w:type="character" w:styleId="HTMLCite">
    <w:name w:val="HTML Cite"/>
    <w:rsid w:val="00E92373"/>
    <w:rPr>
      <w:rFonts w:cs="Times New Roman"/>
      <w:i/>
      <w:iCs/>
    </w:rPr>
  </w:style>
  <w:style w:type="character" w:customStyle="1" w:styleId="EmailStyle531">
    <w:name w:val="EmailStyle531"/>
    <w:semiHidden/>
    <w:rsid w:val="00E92373"/>
    <w:rPr>
      <w:rFonts w:ascii="Arial" w:hAnsi="Arial" w:cs="Arial"/>
      <w:color w:val="000080"/>
      <w:sz w:val="20"/>
      <w:szCs w:val="20"/>
    </w:rPr>
  </w:style>
  <w:style w:type="character" w:customStyle="1" w:styleId="Heading2Char">
    <w:name w:val="Heading 2 Char"/>
    <w:link w:val="Heading2"/>
    <w:rsid w:val="00E92373"/>
    <w:rPr>
      <w:rFonts w:ascii="Arial" w:eastAsia="Arial" w:hAnsi="Arial" w:cs="Arial"/>
      <w:b/>
      <w:bCs/>
      <w:lang w:bidi="en-US"/>
    </w:rPr>
  </w:style>
  <w:style w:type="paragraph" w:styleId="Index1">
    <w:name w:val="index 1"/>
    <w:basedOn w:val="Normal"/>
    <w:next w:val="Normal"/>
    <w:autoRedefine/>
    <w:semiHidden/>
    <w:rsid w:val="00E92373"/>
    <w:pPr>
      <w:widowControl/>
      <w:autoSpaceDE/>
      <w:autoSpaceDN/>
      <w:ind w:left="240" w:hanging="240"/>
    </w:pPr>
    <w:rPr>
      <w:rFonts w:ascii="Times New Roman" w:eastAsia="Times New Roman" w:hAnsi="Times New Roman" w:cs="Times New Roman"/>
      <w:sz w:val="20"/>
      <w:szCs w:val="20"/>
      <w:lang w:bidi="ar-SA"/>
    </w:rPr>
  </w:style>
  <w:style w:type="paragraph" w:styleId="Index2">
    <w:name w:val="index 2"/>
    <w:basedOn w:val="Normal"/>
    <w:next w:val="Normal"/>
    <w:autoRedefine/>
    <w:semiHidden/>
    <w:rsid w:val="00E92373"/>
    <w:pPr>
      <w:widowControl/>
      <w:autoSpaceDE/>
      <w:autoSpaceDN/>
      <w:ind w:left="480" w:hanging="240"/>
    </w:pPr>
    <w:rPr>
      <w:rFonts w:ascii="Times New Roman" w:eastAsia="Times New Roman" w:hAnsi="Times New Roman" w:cs="Times New Roman"/>
      <w:sz w:val="20"/>
      <w:szCs w:val="20"/>
      <w:lang w:bidi="ar-SA"/>
    </w:rPr>
  </w:style>
  <w:style w:type="paragraph" w:styleId="Index3">
    <w:name w:val="index 3"/>
    <w:basedOn w:val="Normal"/>
    <w:next w:val="Normal"/>
    <w:autoRedefine/>
    <w:semiHidden/>
    <w:rsid w:val="00E92373"/>
    <w:pPr>
      <w:widowControl/>
      <w:autoSpaceDE/>
      <w:autoSpaceDN/>
      <w:ind w:left="720" w:hanging="240"/>
    </w:pPr>
    <w:rPr>
      <w:rFonts w:ascii="Times New Roman" w:eastAsia="Times New Roman" w:hAnsi="Times New Roman" w:cs="Times New Roman"/>
      <w:sz w:val="20"/>
      <w:szCs w:val="20"/>
      <w:lang w:bidi="ar-SA"/>
    </w:rPr>
  </w:style>
  <w:style w:type="paragraph" w:styleId="Index4">
    <w:name w:val="index 4"/>
    <w:basedOn w:val="Normal"/>
    <w:next w:val="Normal"/>
    <w:autoRedefine/>
    <w:semiHidden/>
    <w:rsid w:val="00E92373"/>
    <w:pPr>
      <w:widowControl/>
      <w:autoSpaceDE/>
      <w:autoSpaceDN/>
      <w:ind w:left="960" w:hanging="240"/>
    </w:pPr>
    <w:rPr>
      <w:rFonts w:ascii="Times New Roman" w:eastAsia="Times New Roman" w:hAnsi="Times New Roman" w:cs="Times New Roman"/>
      <w:sz w:val="20"/>
      <w:szCs w:val="20"/>
      <w:lang w:bidi="ar-SA"/>
    </w:rPr>
  </w:style>
  <w:style w:type="paragraph" w:styleId="Index5">
    <w:name w:val="index 5"/>
    <w:basedOn w:val="Normal"/>
    <w:next w:val="Normal"/>
    <w:autoRedefine/>
    <w:semiHidden/>
    <w:rsid w:val="00E92373"/>
    <w:pPr>
      <w:widowControl/>
      <w:autoSpaceDE/>
      <w:autoSpaceDN/>
      <w:ind w:left="1200" w:hanging="240"/>
    </w:pPr>
    <w:rPr>
      <w:rFonts w:ascii="Times New Roman" w:eastAsia="Times New Roman" w:hAnsi="Times New Roman" w:cs="Times New Roman"/>
      <w:sz w:val="20"/>
      <w:szCs w:val="20"/>
      <w:lang w:bidi="ar-SA"/>
    </w:rPr>
  </w:style>
  <w:style w:type="paragraph" w:styleId="Index6">
    <w:name w:val="index 6"/>
    <w:basedOn w:val="Normal"/>
    <w:next w:val="Normal"/>
    <w:autoRedefine/>
    <w:semiHidden/>
    <w:rsid w:val="00E92373"/>
    <w:pPr>
      <w:widowControl/>
      <w:autoSpaceDE/>
      <w:autoSpaceDN/>
      <w:ind w:left="1440" w:hanging="240"/>
    </w:pPr>
    <w:rPr>
      <w:rFonts w:ascii="Times New Roman" w:eastAsia="Times New Roman" w:hAnsi="Times New Roman" w:cs="Times New Roman"/>
      <w:sz w:val="20"/>
      <w:szCs w:val="20"/>
      <w:lang w:bidi="ar-SA"/>
    </w:rPr>
  </w:style>
  <w:style w:type="paragraph" w:styleId="Index7">
    <w:name w:val="index 7"/>
    <w:basedOn w:val="Normal"/>
    <w:next w:val="Normal"/>
    <w:autoRedefine/>
    <w:semiHidden/>
    <w:rsid w:val="00E92373"/>
    <w:pPr>
      <w:widowControl/>
      <w:autoSpaceDE/>
      <w:autoSpaceDN/>
      <w:ind w:left="1680" w:hanging="240"/>
    </w:pPr>
    <w:rPr>
      <w:rFonts w:ascii="Times New Roman" w:eastAsia="Times New Roman" w:hAnsi="Times New Roman" w:cs="Times New Roman"/>
      <w:sz w:val="20"/>
      <w:szCs w:val="20"/>
      <w:lang w:bidi="ar-SA"/>
    </w:rPr>
  </w:style>
  <w:style w:type="paragraph" w:styleId="Index8">
    <w:name w:val="index 8"/>
    <w:basedOn w:val="Normal"/>
    <w:next w:val="Normal"/>
    <w:autoRedefine/>
    <w:semiHidden/>
    <w:rsid w:val="00E92373"/>
    <w:pPr>
      <w:widowControl/>
      <w:autoSpaceDE/>
      <w:autoSpaceDN/>
      <w:ind w:left="1920" w:hanging="240"/>
    </w:pPr>
    <w:rPr>
      <w:rFonts w:ascii="Times New Roman" w:eastAsia="Times New Roman" w:hAnsi="Times New Roman" w:cs="Times New Roman"/>
      <w:sz w:val="20"/>
      <w:szCs w:val="20"/>
      <w:lang w:bidi="ar-SA"/>
    </w:rPr>
  </w:style>
  <w:style w:type="paragraph" w:styleId="Index9">
    <w:name w:val="index 9"/>
    <w:basedOn w:val="Normal"/>
    <w:next w:val="Normal"/>
    <w:autoRedefine/>
    <w:semiHidden/>
    <w:rsid w:val="00E92373"/>
    <w:pPr>
      <w:widowControl/>
      <w:autoSpaceDE/>
      <w:autoSpaceDN/>
      <w:ind w:left="2160" w:hanging="240"/>
    </w:pPr>
    <w:rPr>
      <w:rFonts w:ascii="Times New Roman" w:eastAsia="Times New Roman" w:hAnsi="Times New Roman" w:cs="Times New Roman"/>
      <w:sz w:val="20"/>
      <w:szCs w:val="20"/>
      <w:lang w:bidi="ar-SA"/>
    </w:rPr>
  </w:style>
  <w:style w:type="paragraph" w:styleId="IndexHeading">
    <w:name w:val="index heading"/>
    <w:basedOn w:val="Normal"/>
    <w:next w:val="Index1"/>
    <w:semiHidden/>
    <w:rsid w:val="00E92373"/>
    <w:pPr>
      <w:widowControl/>
      <w:autoSpaceDE/>
      <w:autoSpaceDN/>
      <w:spacing w:before="120" w:after="120"/>
    </w:pPr>
    <w:rPr>
      <w:rFonts w:ascii="Times New Roman" w:eastAsia="Times New Roman" w:hAnsi="Times New Roman" w:cs="Times New Roman"/>
      <w:b/>
      <w:bCs/>
      <w:i/>
      <w:iCs/>
      <w:sz w:val="20"/>
      <w:szCs w:val="20"/>
      <w:lang w:bidi="ar-SA"/>
    </w:rPr>
  </w:style>
  <w:style w:type="character" w:customStyle="1" w:styleId="kyasa1">
    <w:name w:val="kyasa1"/>
    <w:semiHidden/>
    <w:rsid w:val="00E92373"/>
    <w:rPr>
      <w:rFonts w:ascii="Arial" w:hAnsi="Arial" w:cs="Arial"/>
      <w:color w:val="auto"/>
      <w:sz w:val="20"/>
      <w:szCs w:val="20"/>
    </w:rPr>
  </w:style>
  <w:style w:type="character" w:customStyle="1" w:styleId="apple-style-span">
    <w:name w:val="apple-style-span"/>
    <w:rsid w:val="00E92373"/>
  </w:style>
  <w:style w:type="paragraph" w:styleId="Revision">
    <w:name w:val="Revision"/>
    <w:hidden/>
    <w:uiPriority w:val="99"/>
    <w:semiHidden/>
    <w:rsid w:val="00E92373"/>
    <w:pPr>
      <w:widowControl/>
      <w:autoSpaceDE/>
      <w:autoSpaceDN/>
    </w:pPr>
    <w:rPr>
      <w:rFonts w:ascii="Times New Roman" w:eastAsia="Times New Roman" w:hAnsi="Times New Roman" w:cs="Times New Roman"/>
      <w:sz w:val="24"/>
      <w:szCs w:val="24"/>
    </w:rPr>
  </w:style>
  <w:style w:type="character" w:customStyle="1" w:styleId="Heading1Char">
    <w:name w:val="Heading 1 Char"/>
    <w:link w:val="Heading1"/>
    <w:rsid w:val="00E92373"/>
    <w:rPr>
      <w:rFonts w:ascii="Arial" w:eastAsia="Arial" w:hAnsi="Arial" w:cs="Arial"/>
      <w:sz w:val="24"/>
      <w:szCs w:val="24"/>
      <w:lang w:bidi="en-US"/>
    </w:rPr>
  </w:style>
  <w:style w:type="character" w:customStyle="1" w:styleId="Heading3Char">
    <w:name w:val="Heading 3 Char"/>
    <w:link w:val="Heading3"/>
    <w:rsid w:val="00E92373"/>
    <w:rPr>
      <w:rFonts w:ascii="Arial" w:eastAsia="Arial" w:hAnsi="Arial" w:cs="Arial"/>
      <w:b/>
      <w:bCs/>
      <w:i/>
      <w:lang w:bidi="en-US"/>
    </w:rPr>
  </w:style>
  <w:style w:type="character" w:customStyle="1" w:styleId="Heading4Char">
    <w:name w:val="Heading 4 Char"/>
    <w:link w:val="Heading4"/>
    <w:rsid w:val="00E92373"/>
    <w:rPr>
      <w:rFonts w:ascii="Arial" w:eastAsia="Arial" w:hAnsi="Arial" w:cs="Arial"/>
      <w:lang w:bidi="en-US"/>
    </w:rPr>
  </w:style>
  <w:style w:type="character" w:customStyle="1" w:styleId="BodyTextChar">
    <w:name w:val="Body Text Char"/>
    <w:link w:val="BodyText"/>
    <w:rsid w:val="00E92373"/>
    <w:rPr>
      <w:rFonts w:ascii="Arial" w:eastAsia="Arial" w:hAnsi="Arial" w:cs="Arial"/>
      <w:sz w:val="20"/>
      <w:szCs w:val="20"/>
      <w:lang w:bidi="en-US"/>
    </w:rPr>
  </w:style>
  <w:style w:type="character" w:customStyle="1" w:styleId="dibtext-21">
    <w:name w:val="dib_text-21"/>
    <w:rsid w:val="00E92373"/>
    <w:rPr>
      <w:rFonts w:ascii="Arial" w:hAnsi="Arial" w:cs="Arial" w:hint="default"/>
      <w:b w:val="0"/>
      <w:bCs w:val="0"/>
      <w:strike w:val="0"/>
      <w:dstrike w:val="0"/>
      <w:color w:val="595959"/>
      <w:sz w:val="20"/>
      <w:szCs w:val="20"/>
      <w:u w:val="none"/>
      <w:effect w:val="none"/>
    </w:rPr>
  </w:style>
  <w:style w:type="character" w:customStyle="1" w:styleId="ListParagraphChar">
    <w:name w:val="List Paragraph Char"/>
    <w:basedOn w:val="DefaultParagraphFont"/>
    <w:link w:val="ListParagraph"/>
    <w:uiPriority w:val="34"/>
    <w:rsid w:val="0070181A"/>
    <w:rPr>
      <w:rFonts w:ascii="Arial" w:eastAsia="Arial" w:hAnsi="Arial" w:cs="Arial"/>
      <w:lang w:bidi="en-US"/>
    </w:rPr>
  </w:style>
  <w:style w:type="paragraph" w:styleId="FootnoteText">
    <w:name w:val="footnote text"/>
    <w:basedOn w:val="Normal"/>
    <w:link w:val="FootnoteTextChar"/>
    <w:uiPriority w:val="99"/>
    <w:semiHidden/>
    <w:unhideWhenUsed/>
    <w:rsid w:val="0048563C"/>
    <w:rPr>
      <w:sz w:val="20"/>
      <w:szCs w:val="20"/>
    </w:rPr>
  </w:style>
  <w:style w:type="character" w:customStyle="1" w:styleId="FootnoteTextChar">
    <w:name w:val="Footnote Text Char"/>
    <w:basedOn w:val="DefaultParagraphFont"/>
    <w:link w:val="FootnoteText"/>
    <w:uiPriority w:val="99"/>
    <w:semiHidden/>
    <w:rsid w:val="0048563C"/>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48563C"/>
    <w:rPr>
      <w:vertAlign w:val="superscript"/>
    </w:rPr>
  </w:style>
  <w:style w:type="paragraph" w:customStyle="1" w:styleId="gmail-msobodytext">
    <w:name w:val="gmail-msobodytext"/>
    <w:basedOn w:val="Normal"/>
    <w:rsid w:val="00030318"/>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qFormat/>
    <w:pPr>
      <w:spacing w:before="10"/>
      <w:ind w:left="40"/>
      <w:outlineLvl w:val="0"/>
    </w:pPr>
    <w:rPr>
      <w:sz w:val="24"/>
      <w:szCs w:val="24"/>
    </w:rPr>
  </w:style>
  <w:style w:type="paragraph" w:styleId="Heading2">
    <w:name w:val="heading 2"/>
    <w:basedOn w:val="Normal"/>
    <w:link w:val="Heading2Char"/>
    <w:qFormat/>
    <w:pPr>
      <w:ind w:left="1155"/>
      <w:outlineLvl w:val="1"/>
    </w:pPr>
    <w:rPr>
      <w:b/>
      <w:bCs/>
    </w:rPr>
  </w:style>
  <w:style w:type="paragraph" w:styleId="Heading3">
    <w:name w:val="heading 3"/>
    <w:basedOn w:val="Normal"/>
    <w:link w:val="Heading3Char"/>
    <w:qFormat/>
    <w:pPr>
      <w:ind w:left="1501" w:hanging="1352"/>
      <w:outlineLvl w:val="2"/>
    </w:pPr>
    <w:rPr>
      <w:b/>
      <w:bCs/>
      <w:i/>
    </w:rPr>
  </w:style>
  <w:style w:type="paragraph" w:styleId="Heading4">
    <w:name w:val="heading 4"/>
    <w:basedOn w:val="Normal"/>
    <w:link w:val="Heading4Char"/>
    <w:qFormat/>
    <w:pPr>
      <w:ind w:left="1191"/>
      <w:outlineLvl w:val="3"/>
    </w:pPr>
  </w:style>
  <w:style w:type="paragraph" w:styleId="Heading5">
    <w:name w:val="heading 5"/>
    <w:basedOn w:val="Normal"/>
    <w:link w:val="Heading5Char"/>
    <w:qFormat/>
    <w:pPr>
      <w:ind w:left="1640" w:hanging="720"/>
      <w:outlineLvl w:val="4"/>
    </w:pPr>
    <w:rPr>
      <w:b/>
      <w:bCs/>
      <w:sz w:val="20"/>
      <w:szCs w:val="20"/>
    </w:rPr>
  </w:style>
  <w:style w:type="paragraph" w:styleId="Heading6">
    <w:name w:val="heading 6"/>
    <w:basedOn w:val="Normal"/>
    <w:next w:val="Normal"/>
    <w:link w:val="Heading6Char"/>
    <w:qFormat/>
    <w:rsid w:val="00E92373"/>
    <w:pPr>
      <w:widowControl/>
      <w:tabs>
        <w:tab w:val="num" w:pos="1152"/>
      </w:tabs>
      <w:autoSpaceDE/>
      <w:autoSpaceDN/>
      <w:spacing w:before="240" w:after="60"/>
      <w:ind w:left="1152" w:hanging="1152"/>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E92373"/>
    <w:pPr>
      <w:widowControl/>
      <w:tabs>
        <w:tab w:val="num" w:pos="1296"/>
      </w:tabs>
      <w:autoSpaceDE/>
      <w:autoSpaceDN/>
      <w:spacing w:before="240" w:after="60"/>
      <w:ind w:left="1296" w:hanging="1296"/>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E92373"/>
    <w:pPr>
      <w:widowControl/>
      <w:tabs>
        <w:tab w:val="num" w:pos="1440"/>
      </w:tabs>
      <w:autoSpaceDE/>
      <w:autoSpaceDN/>
      <w:spacing w:before="240" w:after="60"/>
      <w:ind w:left="1440" w:hanging="1440"/>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E92373"/>
    <w:pPr>
      <w:widowControl/>
      <w:tabs>
        <w:tab w:val="num" w:pos="1584"/>
      </w:tabs>
      <w:autoSpaceDE/>
      <w:autoSpaceDN/>
      <w:spacing w:before="240" w:after="60"/>
      <w:ind w:left="1584" w:hanging="1584"/>
      <w:outlineLvl w:val="8"/>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640" w:hanging="1080"/>
    </w:pPr>
    <w:rPr>
      <w:rFonts w:ascii="Times New Roman" w:eastAsia="Times New Roman" w:hAnsi="Times New Roman" w:cs="Times New Roman"/>
      <w:b/>
      <w:bCs/>
      <w:sz w:val="20"/>
      <w:szCs w:val="20"/>
    </w:rPr>
  </w:style>
  <w:style w:type="paragraph" w:styleId="TOC2">
    <w:name w:val="toc 2"/>
    <w:basedOn w:val="Normal"/>
    <w:uiPriority w:val="1"/>
    <w:qFormat/>
    <w:pPr>
      <w:ind w:left="1621" w:hanging="1061"/>
    </w:pPr>
    <w:rPr>
      <w:rFonts w:ascii="Times New Roman" w:eastAsia="Times New Roman" w:hAnsi="Times New Roman" w:cs="Times New Roman"/>
      <w:sz w:val="20"/>
      <w:szCs w:val="20"/>
    </w:rPr>
  </w:style>
  <w:style w:type="paragraph" w:styleId="BodyText">
    <w:name w:val="Body Text"/>
    <w:basedOn w:val="Normal"/>
    <w:link w:val="BodyTextChar"/>
    <w:qFormat/>
    <w:rPr>
      <w:sz w:val="20"/>
      <w:szCs w:val="20"/>
    </w:rPr>
  </w:style>
  <w:style w:type="paragraph" w:styleId="ListParagraph">
    <w:name w:val="List Paragraph"/>
    <w:basedOn w:val="Normal"/>
    <w:link w:val="ListParagraphChar"/>
    <w:uiPriority w:val="34"/>
    <w:qFormat/>
    <w:pPr>
      <w:ind w:left="1640" w:hanging="72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54245"/>
    <w:rPr>
      <w:rFonts w:ascii="Tahoma" w:hAnsi="Tahoma" w:cs="Tahoma"/>
      <w:sz w:val="16"/>
      <w:szCs w:val="16"/>
    </w:rPr>
  </w:style>
  <w:style w:type="character" w:customStyle="1" w:styleId="BalloonTextChar">
    <w:name w:val="Balloon Text Char"/>
    <w:basedOn w:val="DefaultParagraphFont"/>
    <w:link w:val="BalloonText"/>
    <w:uiPriority w:val="99"/>
    <w:semiHidden/>
    <w:rsid w:val="00954245"/>
    <w:rPr>
      <w:rFonts w:ascii="Tahoma" w:eastAsia="Arial" w:hAnsi="Tahoma" w:cs="Tahoma"/>
      <w:sz w:val="16"/>
      <w:szCs w:val="16"/>
      <w:lang w:bidi="en-US"/>
    </w:rPr>
  </w:style>
  <w:style w:type="paragraph" w:styleId="NormalWeb">
    <w:name w:val="Normal (Web)"/>
    <w:basedOn w:val="Normal"/>
    <w:uiPriority w:val="99"/>
    <w:rsid w:val="00E92373"/>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character" w:customStyle="1" w:styleId="Heading6Char">
    <w:name w:val="Heading 6 Char"/>
    <w:basedOn w:val="DefaultParagraphFont"/>
    <w:link w:val="Heading6"/>
    <w:rsid w:val="00E92373"/>
    <w:rPr>
      <w:rFonts w:ascii="Times New Roman" w:eastAsia="Times New Roman" w:hAnsi="Times New Roman" w:cs="Times New Roman"/>
      <w:b/>
      <w:bCs/>
    </w:rPr>
  </w:style>
  <w:style w:type="character" w:customStyle="1" w:styleId="Heading7Char">
    <w:name w:val="Heading 7 Char"/>
    <w:basedOn w:val="DefaultParagraphFont"/>
    <w:link w:val="Heading7"/>
    <w:rsid w:val="00E9237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23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2373"/>
    <w:rPr>
      <w:rFonts w:ascii="Arial" w:eastAsia="Times New Roman" w:hAnsi="Arial" w:cs="Arial"/>
    </w:rPr>
  </w:style>
  <w:style w:type="paragraph" w:customStyle="1" w:styleId="Default">
    <w:name w:val="Default"/>
    <w:rsid w:val="00E92373"/>
    <w:pPr>
      <w:widowControl/>
      <w:adjustRightInd w:val="0"/>
    </w:pPr>
    <w:rPr>
      <w:rFonts w:ascii="Calibri" w:hAnsi="Calibri" w:cs="Calibri"/>
      <w:color w:val="000000"/>
      <w:sz w:val="24"/>
      <w:szCs w:val="24"/>
    </w:rPr>
  </w:style>
  <w:style w:type="character" w:styleId="CommentReference">
    <w:name w:val="annotation reference"/>
    <w:basedOn w:val="DefaultParagraphFont"/>
    <w:unhideWhenUsed/>
    <w:rsid w:val="00E92373"/>
    <w:rPr>
      <w:sz w:val="16"/>
      <w:szCs w:val="16"/>
    </w:rPr>
  </w:style>
  <w:style w:type="paragraph" w:styleId="CommentText">
    <w:name w:val="annotation text"/>
    <w:basedOn w:val="Normal"/>
    <w:link w:val="CommentTextChar"/>
    <w:unhideWhenUsed/>
    <w:rsid w:val="00E92373"/>
    <w:pPr>
      <w:autoSpaceDE/>
      <w:autoSpaceDN/>
    </w:pPr>
    <w:rPr>
      <w:sz w:val="20"/>
      <w:szCs w:val="20"/>
      <w:lang w:bidi="ar-SA"/>
    </w:rPr>
  </w:style>
  <w:style w:type="character" w:customStyle="1" w:styleId="CommentTextChar">
    <w:name w:val="Comment Text Char"/>
    <w:basedOn w:val="DefaultParagraphFont"/>
    <w:link w:val="CommentText"/>
    <w:uiPriority w:val="99"/>
    <w:rsid w:val="00E923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2373"/>
    <w:rPr>
      <w:b/>
      <w:bCs/>
    </w:rPr>
  </w:style>
  <w:style w:type="character" w:customStyle="1" w:styleId="CommentSubjectChar">
    <w:name w:val="Comment Subject Char"/>
    <w:basedOn w:val="CommentTextChar"/>
    <w:link w:val="CommentSubject"/>
    <w:uiPriority w:val="99"/>
    <w:semiHidden/>
    <w:rsid w:val="00E92373"/>
    <w:rPr>
      <w:rFonts w:ascii="Arial" w:eastAsia="Arial" w:hAnsi="Arial" w:cs="Arial"/>
      <w:b/>
      <w:bCs/>
      <w:sz w:val="20"/>
      <w:szCs w:val="20"/>
    </w:rPr>
  </w:style>
  <w:style w:type="paragraph" w:styleId="NoSpacing">
    <w:name w:val="No Spacing"/>
    <w:uiPriority w:val="1"/>
    <w:qFormat/>
    <w:rsid w:val="00E92373"/>
    <w:pPr>
      <w:widowControl/>
      <w:autoSpaceDE/>
      <w:autoSpaceDN/>
    </w:pPr>
    <w:rPr>
      <w:rFonts w:ascii="Times New Roman" w:eastAsia="Times New Roman" w:hAnsi="Times New Roman" w:cs="Times New Roman"/>
      <w:sz w:val="24"/>
      <w:szCs w:val="24"/>
    </w:rPr>
  </w:style>
  <w:style w:type="paragraph" w:styleId="BodyText2">
    <w:name w:val="Body Text 2"/>
    <w:basedOn w:val="Normal"/>
    <w:link w:val="BodyText2Char"/>
    <w:rsid w:val="00E92373"/>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rsid w:val="00E92373"/>
    <w:rPr>
      <w:rFonts w:ascii="Times New Roman" w:eastAsia="Times New Roman" w:hAnsi="Times New Roman" w:cs="Times New Roman"/>
      <w:sz w:val="24"/>
      <w:szCs w:val="24"/>
      <w:lang w:val="x-none" w:eastAsia="x-none"/>
    </w:rPr>
  </w:style>
  <w:style w:type="paragraph" w:customStyle="1" w:styleId="CM3">
    <w:name w:val="CM3"/>
    <w:basedOn w:val="Normal"/>
    <w:next w:val="Normal"/>
    <w:uiPriority w:val="99"/>
    <w:rsid w:val="00E92373"/>
    <w:pPr>
      <w:adjustRightInd w:val="0"/>
    </w:pPr>
    <w:rPr>
      <w:rFonts w:ascii="MALBNN+Verdana" w:eastAsia="Times New Roman" w:hAnsi="MALBNN+Verdana" w:cs="Times New Roman"/>
      <w:b/>
      <w:bCs/>
      <w:color w:val="000000"/>
      <w:sz w:val="20"/>
      <w:szCs w:val="20"/>
      <w:lang w:bidi="ar-SA"/>
    </w:rPr>
  </w:style>
  <w:style w:type="character" w:customStyle="1" w:styleId="Heading5Char">
    <w:name w:val="Heading 5 Char"/>
    <w:basedOn w:val="DefaultParagraphFont"/>
    <w:link w:val="Heading5"/>
    <w:rsid w:val="00E92373"/>
    <w:rPr>
      <w:rFonts w:ascii="Arial" w:eastAsia="Arial" w:hAnsi="Arial" w:cs="Arial"/>
      <w:b/>
      <w:bCs/>
      <w:sz w:val="20"/>
      <w:szCs w:val="20"/>
      <w:lang w:bidi="en-US"/>
    </w:rPr>
  </w:style>
  <w:style w:type="numbering" w:customStyle="1" w:styleId="NoList1">
    <w:name w:val="No List1"/>
    <w:next w:val="NoList"/>
    <w:uiPriority w:val="99"/>
    <w:semiHidden/>
    <w:rsid w:val="00E92373"/>
  </w:style>
  <w:style w:type="table" w:styleId="TableGrid">
    <w:name w:val="Table Grid"/>
    <w:basedOn w:val="TableNormal"/>
    <w:rsid w:val="00E9237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E92373"/>
    <w:rPr>
      <w:rFonts w:ascii="Times New Roman" w:eastAsia="Times New Roman" w:hAnsi="Times New Roman" w:cs="Times New Roman"/>
      <w:sz w:val="24"/>
      <w:szCs w:val="24"/>
    </w:rPr>
  </w:style>
  <w:style w:type="paragraph" w:styleId="Footer">
    <w:name w:val="footer"/>
    <w:basedOn w:val="Normal"/>
    <w:link w:val="Foot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E92373"/>
    <w:rPr>
      <w:rFonts w:ascii="Times New Roman" w:eastAsia="Times New Roman" w:hAnsi="Times New Roman" w:cs="Times New Roman"/>
      <w:sz w:val="24"/>
      <w:szCs w:val="24"/>
    </w:rPr>
  </w:style>
  <w:style w:type="character" w:styleId="PageNumber">
    <w:name w:val="page number"/>
    <w:rsid w:val="00E92373"/>
    <w:rPr>
      <w:rFonts w:cs="Times New Roman"/>
    </w:rPr>
  </w:style>
  <w:style w:type="paragraph" w:customStyle="1" w:styleId="TD">
    <w:name w:val="TD"/>
    <w:basedOn w:val="Normal"/>
    <w:rsid w:val="00E92373"/>
    <w:pPr>
      <w:widowControl/>
      <w:autoSpaceDE/>
      <w:autoSpaceDN/>
    </w:pPr>
    <w:rPr>
      <w:rFonts w:ascii="Times New Roman" w:eastAsia="Times New Roman" w:hAnsi="Times New Roman" w:cs="Times New Roman"/>
      <w:b/>
      <w:bCs/>
      <w:szCs w:val="20"/>
      <w:lang w:bidi="ar-SA"/>
    </w:rPr>
  </w:style>
  <w:style w:type="paragraph" w:styleId="BodyTextIndent3">
    <w:name w:val="Body Text Indent 3"/>
    <w:basedOn w:val="Normal"/>
    <w:link w:val="BodyTextIndent3Char"/>
    <w:rsid w:val="00E92373"/>
    <w:pPr>
      <w:widowControl/>
      <w:autoSpaceDE/>
      <w:autoSpaceDN/>
      <w:ind w:left="36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E9237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92373"/>
    <w:pPr>
      <w:widowControl/>
      <w:autoSpaceDE/>
      <w:autoSpaceDN/>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E92373"/>
    <w:rPr>
      <w:rFonts w:ascii="Times New Roman" w:eastAsia="Times New Roman" w:hAnsi="Times New Roman" w:cs="Times New Roman"/>
      <w:sz w:val="24"/>
      <w:szCs w:val="24"/>
    </w:rPr>
  </w:style>
  <w:style w:type="paragraph" w:styleId="PlainText">
    <w:name w:val="Plain Text"/>
    <w:basedOn w:val="Normal"/>
    <w:link w:val="PlainTextChar"/>
    <w:rsid w:val="00E92373"/>
    <w:pPr>
      <w:widowControl/>
      <w:autoSpaceDE/>
      <w:autoSpaceDN/>
    </w:pPr>
    <w:rPr>
      <w:rFonts w:ascii="Courier New" w:eastAsia="Times New Roman" w:hAnsi="Courier New" w:cs="Wingdings"/>
      <w:sz w:val="20"/>
      <w:szCs w:val="20"/>
      <w:lang w:val="en-GB" w:bidi="ar-SA"/>
    </w:rPr>
  </w:style>
  <w:style w:type="character" w:customStyle="1" w:styleId="PlainTextChar">
    <w:name w:val="Plain Text Char"/>
    <w:basedOn w:val="DefaultParagraphFont"/>
    <w:link w:val="PlainText"/>
    <w:rsid w:val="00E92373"/>
    <w:rPr>
      <w:rFonts w:ascii="Courier New" w:eastAsia="Times New Roman" w:hAnsi="Courier New" w:cs="Wingdings"/>
      <w:sz w:val="20"/>
      <w:szCs w:val="20"/>
      <w:lang w:val="en-GB"/>
    </w:rPr>
  </w:style>
  <w:style w:type="character" w:styleId="Hyperlink">
    <w:name w:val="Hyperlink"/>
    <w:uiPriority w:val="99"/>
    <w:rsid w:val="00E92373"/>
    <w:rPr>
      <w:rFonts w:cs="Times New Roman"/>
      <w:color w:val="0000FF"/>
      <w:u w:val="single"/>
    </w:rPr>
  </w:style>
  <w:style w:type="character" w:styleId="FollowedHyperlink">
    <w:name w:val="FollowedHyperlink"/>
    <w:rsid w:val="00E92373"/>
    <w:rPr>
      <w:rFonts w:cs="Times New Roman"/>
      <w:color w:val="800080"/>
      <w:u w:val="single"/>
    </w:rPr>
  </w:style>
  <w:style w:type="paragraph" w:styleId="TOC3">
    <w:name w:val="toc 3"/>
    <w:basedOn w:val="Normal"/>
    <w:next w:val="Normal"/>
    <w:autoRedefine/>
    <w:uiPriority w:val="39"/>
    <w:qFormat/>
    <w:rsid w:val="00E92373"/>
    <w:pPr>
      <w:widowControl/>
      <w:tabs>
        <w:tab w:val="left" w:pos="720"/>
        <w:tab w:val="right" w:pos="8820"/>
      </w:tabs>
      <w:autoSpaceDE/>
      <w:autoSpaceDN/>
      <w:ind w:left="-360"/>
    </w:pPr>
    <w:rPr>
      <w:rFonts w:ascii="Times New Roman" w:eastAsia="Times New Roman" w:hAnsi="Times New Roman" w:cs="Times New Roman"/>
      <w:sz w:val="24"/>
      <w:szCs w:val="24"/>
      <w:lang w:bidi="ar-SA"/>
    </w:rPr>
  </w:style>
  <w:style w:type="paragraph" w:styleId="TOC4">
    <w:name w:val="toc 4"/>
    <w:basedOn w:val="Normal"/>
    <w:next w:val="Normal"/>
    <w:autoRedefine/>
    <w:uiPriority w:val="39"/>
    <w:rsid w:val="00E92373"/>
    <w:pPr>
      <w:widowControl/>
      <w:autoSpaceDE/>
      <w:autoSpaceDN/>
      <w:ind w:left="720"/>
    </w:pPr>
    <w:rPr>
      <w:rFonts w:ascii="Times New Roman" w:eastAsia="Times New Roman" w:hAnsi="Times New Roman" w:cs="Times New Roman"/>
      <w:sz w:val="24"/>
      <w:szCs w:val="24"/>
      <w:lang w:bidi="ar-SA"/>
    </w:rPr>
  </w:style>
  <w:style w:type="paragraph" w:styleId="TOC5">
    <w:name w:val="toc 5"/>
    <w:basedOn w:val="Normal"/>
    <w:next w:val="Normal"/>
    <w:autoRedefine/>
    <w:uiPriority w:val="39"/>
    <w:rsid w:val="00E92373"/>
    <w:pPr>
      <w:widowControl/>
      <w:autoSpaceDE/>
      <w:autoSpaceDN/>
      <w:ind w:left="960"/>
    </w:pPr>
    <w:rPr>
      <w:rFonts w:ascii="Times New Roman" w:eastAsia="Times New Roman" w:hAnsi="Times New Roman" w:cs="Times New Roman"/>
      <w:sz w:val="24"/>
      <w:szCs w:val="24"/>
      <w:lang w:bidi="ar-SA"/>
    </w:rPr>
  </w:style>
  <w:style w:type="paragraph" w:styleId="TOC6">
    <w:name w:val="toc 6"/>
    <w:basedOn w:val="Normal"/>
    <w:next w:val="Normal"/>
    <w:autoRedefine/>
    <w:uiPriority w:val="39"/>
    <w:rsid w:val="00E92373"/>
    <w:pPr>
      <w:widowControl/>
      <w:autoSpaceDE/>
      <w:autoSpaceDN/>
      <w:ind w:left="1200"/>
    </w:pPr>
    <w:rPr>
      <w:rFonts w:ascii="Times New Roman" w:eastAsia="Times New Roman" w:hAnsi="Times New Roman" w:cs="Times New Roman"/>
      <w:sz w:val="24"/>
      <w:szCs w:val="24"/>
      <w:lang w:bidi="ar-SA"/>
    </w:rPr>
  </w:style>
  <w:style w:type="paragraph" w:styleId="TOC7">
    <w:name w:val="toc 7"/>
    <w:basedOn w:val="Normal"/>
    <w:next w:val="Normal"/>
    <w:autoRedefine/>
    <w:uiPriority w:val="39"/>
    <w:rsid w:val="00E92373"/>
    <w:pPr>
      <w:widowControl/>
      <w:autoSpaceDE/>
      <w:autoSpaceDN/>
      <w:ind w:left="1440"/>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rsid w:val="00E92373"/>
    <w:pPr>
      <w:widowControl/>
      <w:autoSpaceDE/>
      <w:autoSpaceDN/>
      <w:ind w:left="1680"/>
    </w:pPr>
    <w:rPr>
      <w:rFonts w:ascii="Times New Roman" w:eastAsia="Times New Roman" w:hAnsi="Times New Roman" w:cs="Times New Roman"/>
      <w:sz w:val="24"/>
      <w:szCs w:val="24"/>
      <w:lang w:bidi="ar-SA"/>
    </w:rPr>
  </w:style>
  <w:style w:type="paragraph" w:styleId="TOC9">
    <w:name w:val="toc 9"/>
    <w:basedOn w:val="Normal"/>
    <w:next w:val="Normal"/>
    <w:autoRedefine/>
    <w:uiPriority w:val="39"/>
    <w:rsid w:val="00E92373"/>
    <w:pPr>
      <w:widowControl/>
      <w:autoSpaceDE/>
      <w:autoSpaceDN/>
      <w:ind w:left="1920"/>
    </w:pPr>
    <w:rPr>
      <w:rFonts w:ascii="Times New Roman" w:eastAsia="Times New Roman" w:hAnsi="Times New Roman" w:cs="Times New Roman"/>
      <w:sz w:val="24"/>
      <w:szCs w:val="24"/>
      <w:lang w:bidi="ar-SA"/>
    </w:rPr>
  </w:style>
  <w:style w:type="paragraph" w:customStyle="1" w:styleId="Default1">
    <w:name w:val="Default1"/>
    <w:basedOn w:val="Normal"/>
    <w:next w:val="Normal"/>
    <w:rsid w:val="00E92373"/>
    <w:pPr>
      <w:widowControl/>
      <w:adjustRightInd w:val="0"/>
    </w:pPr>
    <w:rPr>
      <w:rFonts w:ascii="Verdana" w:eastAsia="Times New Roman" w:hAnsi="Verdana" w:cs="Times New Roman"/>
      <w:sz w:val="24"/>
      <w:szCs w:val="24"/>
      <w:lang w:bidi="ar-SA"/>
    </w:rPr>
  </w:style>
  <w:style w:type="paragraph" w:customStyle="1" w:styleId="td0">
    <w:name w:val="td"/>
    <w:basedOn w:val="Normal"/>
    <w:rsid w:val="00E92373"/>
    <w:pPr>
      <w:widowControl/>
      <w:autoSpaceDE/>
      <w:autoSpaceDN/>
    </w:pPr>
    <w:rPr>
      <w:rFonts w:ascii="Times New Roman" w:eastAsia="Times New Roman" w:hAnsi="Times New Roman" w:cs="Times New Roman"/>
      <w:b/>
      <w:bCs/>
      <w:lang w:bidi="ar-SA"/>
    </w:rPr>
  </w:style>
  <w:style w:type="paragraph" w:customStyle="1" w:styleId="N">
    <w:name w:val="N"/>
    <w:basedOn w:val="Normal"/>
    <w:rsid w:val="00E92373"/>
    <w:pPr>
      <w:widowControl/>
      <w:autoSpaceDE/>
      <w:autoSpaceDN/>
    </w:pPr>
    <w:rPr>
      <w:rFonts w:ascii="Times New Roman" w:eastAsia="Times New Roman" w:hAnsi="Times New Roman" w:cs="Times New Roman"/>
      <w:b/>
      <w:sz w:val="23"/>
      <w:szCs w:val="23"/>
      <w:lang w:bidi="ar-SA"/>
    </w:rPr>
  </w:style>
  <w:style w:type="character" w:styleId="Strong">
    <w:name w:val="Strong"/>
    <w:uiPriority w:val="22"/>
    <w:qFormat/>
    <w:rsid w:val="00E92373"/>
    <w:rPr>
      <w:rFonts w:cs="Times New Roman"/>
      <w:b/>
      <w:bCs/>
    </w:rPr>
  </w:style>
  <w:style w:type="paragraph" w:customStyle="1" w:styleId="default0">
    <w:name w:val="default"/>
    <w:basedOn w:val="Normal"/>
    <w:rsid w:val="00E92373"/>
    <w:pPr>
      <w:widowControl/>
    </w:pPr>
    <w:rPr>
      <w:rFonts w:eastAsia="Times New Roman"/>
      <w:color w:val="000000"/>
      <w:sz w:val="24"/>
      <w:szCs w:val="24"/>
      <w:lang w:bidi="ar-SA"/>
    </w:rPr>
  </w:style>
  <w:style w:type="character" w:styleId="Emphasis">
    <w:name w:val="Emphasis"/>
    <w:qFormat/>
    <w:rsid w:val="00E92373"/>
    <w:rPr>
      <w:rFonts w:cs="Times New Roman"/>
      <w:b/>
      <w:bCs/>
    </w:rPr>
  </w:style>
  <w:style w:type="paragraph" w:customStyle="1" w:styleId="1">
    <w:name w:val="1"/>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1CharCharCharCharChar">
    <w:name w:val="Char1 Char Char Char Char Char"/>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Char1Char">
    <w:name w:val="Char Char1 Char"/>
    <w:basedOn w:val="Normal"/>
    <w:rsid w:val="00E92373"/>
    <w:pPr>
      <w:widowControl/>
      <w:autoSpaceDE/>
      <w:autoSpaceDN/>
    </w:pPr>
    <w:rPr>
      <w:rFonts w:ascii="Times New Roman" w:eastAsia="Times New Roman" w:hAnsi="Times New Roman" w:cs="Times New Roman"/>
      <w:sz w:val="20"/>
      <w:szCs w:val="20"/>
      <w:lang w:val="en-GB" w:bidi="ar-SA"/>
    </w:rPr>
  </w:style>
  <w:style w:type="character" w:styleId="HTMLCite">
    <w:name w:val="HTML Cite"/>
    <w:rsid w:val="00E92373"/>
    <w:rPr>
      <w:rFonts w:cs="Times New Roman"/>
      <w:i/>
      <w:iCs/>
    </w:rPr>
  </w:style>
  <w:style w:type="character" w:customStyle="1" w:styleId="EmailStyle531">
    <w:name w:val="EmailStyle531"/>
    <w:semiHidden/>
    <w:rsid w:val="00E92373"/>
    <w:rPr>
      <w:rFonts w:ascii="Arial" w:hAnsi="Arial" w:cs="Arial"/>
      <w:color w:val="000080"/>
      <w:sz w:val="20"/>
      <w:szCs w:val="20"/>
    </w:rPr>
  </w:style>
  <w:style w:type="character" w:customStyle="1" w:styleId="Heading2Char">
    <w:name w:val="Heading 2 Char"/>
    <w:link w:val="Heading2"/>
    <w:rsid w:val="00E92373"/>
    <w:rPr>
      <w:rFonts w:ascii="Arial" w:eastAsia="Arial" w:hAnsi="Arial" w:cs="Arial"/>
      <w:b/>
      <w:bCs/>
      <w:lang w:bidi="en-US"/>
    </w:rPr>
  </w:style>
  <w:style w:type="paragraph" w:styleId="Index1">
    <w:name w:val="index 1"/>
    <w:basedOn w:val="Normal"/>
    <w:next w:val="Normal"/>
    <w:autoRedefine/>
    <w:semiHidden/>
    <w:rsid w:val="00E92373"/>
    <w:pPr>
      <w:widowControl/>
      <w:autoSpaceDE/>
      <w:autoSpaceDN/>
      <w:ind w:left="240" w:hanging="240"/>
    </w:pPr>
    <w:rPr>
      <w:rFonts w:ascii="Times New Roman" w:eastAsia="Times New Roman" w:hAnsi="Times New Roman" w:cs="Times New Roman"/>
      <w:sz w:val="20"/>
      <w:szCs w:val="20"/>
      <w:lang w:bidi="ar-SA"/>
    </w:rPr>
  </w:style>
  <w:style w:type="paragraph" w:styleId="Index2">
    <w:name w:val="index 2"/>
    <w:basedOn w:val="Normal"/>
    <w:next w:val="Normal"/>
    <w:autoRedefine/>
    <w:semiHidden/>
    <w:rsid w:val="00E92373"/>
    <w:pPr>
      <w:widowControl/>
      <w:autoSpaceDE/>
      <w:autoSpaceDN/>
      <w:ind w:left="480" w:hanging="240"/>
    </w:pPr>
    <w:rPr>
      <w:rFonts w:ascii="Times New Roman" w:eastAsia="Times New Roman" w:hAnsi="Times New Roman" w:cs="Times New Roman"/>
      <w:sz w:val="20"/>
      <w:szCs w:val="20"/>
      <w:lang w:bidi="ar-SA"/>
    </w:rPr>
  </w:style>
  <w:style w:type="paragraph" w:styleId="Index3">
    <w:name w:val="index 3"/>
    <w:basedOn w:val="Normal"/>
    <w:next w:val="Normal"/>
    <w:autoRedefine/>
    <w:semiHidden/>
    <w:rsid w:val="00E92373"/>
    <w:pPr>
      <w:widowControl/>
      <w:autoSpaceDE/>
      <w:autoSpaceDN/>
      <w:ind w:left="720" w:hanging="240"/>
    </w:pPr>
    <w:rPr>
      <w:rFonts w:ascii="Times New Roman" w:eastAsia="Times New Roman" w:hAnsi="Times New Roman" w:cs="Times New Roman"/>
      <w:sz w:val="20"/>
      <w:szCs w:val="20"/>
      <w:lang w:bidi="ar-SA"/>
    </w:rPr>
  </w:style>
  <w:style w:type="paragraph" w:styleId="Index4">
    <w:name w:val="index 4"/>
    <w:basedOn w:val="Normal"/>
    <w:next w:val="Normal"/>
    <w:autoRedefine/>
    <w:semiHidden/>
    <w:rsid w:val="00E92373"/>
    <w:pPr>
      <w:widowControl/>
      <w:autoSpaceDE/>
      <w:autoSpaceDN/>
      <w:ind w:left="960" w:hanging="240"/>
    </w:pPr>
    <w:rPr>
      <w:rFonts w:ascii="Times New Roman" w:eastAsia="Times New Roman" w:hAnsi="Times New Roman" w:cs="Times New Roman"/>
      <w:sz w:val="20"/>
      <w:szCs w:val="20"/>
      <w:lang w:bidi="ar-SA"/>
    </w:rPr>
  </w:style>
  <w:style w:type="paragraph" w:styleId="Index5">
    <w:name w:val="index 5"/>
    <w:basedOn w:val="Normal"/>
    <w:next w:val="Normal"/>
    <w:autoRedefine/>
    <w:semiHidden/>
    <w:rsid w:val="00E92373"/>
    <w:pPr>
      <w:widowControl/>
      <w:autoSpaceDE/>
      <w:autoSpaceDN/>
      <w:ind w:left="1200" w:hanging="240"/>
    </w:pPr>
    <w:rPr>
      <w:rFonts w:ascii="Times New Roman" w:eastAsia="Times New Roman" w:hAnsi="Times New Roman" w:cs="Times New Roman"/>
      <w:sz w:val="20"/>
      <w:szCs w:val="20"/>
      <w:lang w:bidi="ar-SA"/>
    </w:rPr>
  </w:style>
  <w:style w:type="paragraph" w:styleId="Index6">
    <w:name w:val="index 6"/>
    <w:basedOn w:val="Normal"/>
    <w:next w:val="Normal"/>
    <w:autoRedefine/>
    <w:semiHidden/>
    <w:rsid w:val="00E92373"/>
    <w:pPr>
      <w:widowControl/>
      <w:autoSpaceDE/>
      <w:autoSpaceDN/>
      <w:ind w:left="1440" w:hanging="240"/>
    </w:pPr>
    <w:rPr>
      <w:rFonts w:ascii="Times New Roman" w:eastAsia="Times New Roman" w:hAnsi="Times New Roman" w:cs="Times New Roman"/>
      <w:sz w:val="20"/>
      <w:szCs w:val="20"/>
      <w:lang w:bidi="ar-SA"/>
    </w:rPr>
  </w:style>
  <w:style w:type="paragraph" w:styleId="Index7">
    <w:name w:val="index 7"/>
    <w:basedOn w:val="Normal"/>
    <w:next w:val="Normal"/>
    <w:autoRedefine/>
    <w:semiHidden/>
    <w:rsid w:val="00E92373"/>
    <w:pPr>
      <w:widowControl/>
      <w:autoSpaceDE/>
      <w:autoSpaceDN/>
      <w:ind w:left="1680" w:hanging="240"/>
    </w:pPr>
    <w:rPr>
      <w:rFonts w:ascii="Times New Roman" w:eastAsia="Times New Roman" w:hAnsi="Times New Roman" w:cs="Times New Roman"/>
      <w:sz w:val="20"/>
      <w:szCs w:val="20"/>
      <w:lang w:bidi="ar-SA"/>
    </w:rPr>
  </w:style>
  <w:style w:type="paragraph" w:styleId="Index8">
    <w:name w:val="index 8"/>
    <w:basedOn w:val="Normal"/>
    <w:next w:val="Normal"/>
    <w:autoRedefine/>
    <w:semiHidden/>
    <w:rsid w:val="00E92373"/>
    <w:pPr>
      <w:widowControl/>
      <w:autoSpaceDE/>
      <w:autoSpaceDN/>
      <w:ind w:left="1920" w:hanging="240"/>
    </w:pPr>
    <w:rPr>
      <w:rFonts w:ascii="Times New Roman" w:eastAsia="Times New Roman" w:hAnsi="Times New Roman" w:cs="Times New Roman"/>
      <w:sz w:val="20"/>
      <w:szCs w:val="20"/>
      <w:lang w:bidi="ar-SA"/>
    </w:rPr>
  </w:style>
  <w:style w:type="paragraph" w:styleId="Index9">
    <w:name w:val="index 9"/>
    <w:basedOn w:val="Normal"/>
    <w:next w:val="Normal"/>
    <w:autoRedefine/>
    <w:semiHidden/>
    <w:rsid w:val="00E92373"/>
    <w:pPr>
      <w:widowControl/>
      <w:autoSpaceDE/>
      <w:autoSpaceDN/>
      <w:ind w:left="2160" w:hanging="240"/>
    </w:pPr>
    <w:rPr>
      <w:rFonts w:ascii="Times New Roman" w:eastAsia="Times New Roman" w:hAnsi="Times New Roman" w:cs="Times New Roman"/>
      <w:sz w:val="20"/>
      <w:szCs w:val="20"/>
      <w:lang w:bidi="ar-SA"/>
    </w:rPr>
  </w:style>
  <w:style w:type="paragraph" w:styleId="IndexHeading">
    <w:name w:val="index heading"/>
    <w:basedOn w:val="Normal"/>
    <w:next w:val="Index1"/>
    <w:semiHidden/>
    <w:rsid w:val="00E92373"/>
    <w:pPr>
      <w:widowControl/>
      <w:autoSpaceDE/>
      <w:autoSpaceDN/>
      <w:spacing w:before="120" w:after="120"/>
    </w:pPr>
    <w:rPr>
      <w:rFonts w:ascii="Times New Roman" w:eastAsia="Times New Roman" w:hAnsi="Times New Roman" w:cs="Times New Roman"/>
      <w:b/>
      <w:bCs/>
      <w:i/>
      <w:iCs/>
      <w:sz w:val="20"/>
      <w:szCs w:val="20"/>
      <w:lang w:bidi="ar-SA"/>
    </w:rPr>
  </w:style>
  <w:style w:type="character" w:customStyle="1" w:styleId="kyasa1">
    <w:name w:val="kyasa1"/>
    <w:semiHidden/>
    <w:rsid w:val="00E92373"/>
    <w:rPr>
      <w:rFonts w:ascii="Arial" w:hAnsi="Arial" w:cs="Arial"/>
      <w:color w:val="auto"/>
      <w:sz w:val="20"/>
      <w:szCs w:val="20"/>
    </w:rPr>
  </w:style>
  <w:style w:type="character" w:customStyle="1" w:styleId="apple-style-span">
    <w:name w:val="apple-style-span"/>
    <w:rsid w:val="00E92373"/>
  </w:style>
  <w:style w:type="paragraph" w:styleId="Revision">
    <w:name w:val="Revision"/>
    <w:hidden/>
    <w:uiPriority w:val="99"/>
    <w:semiHidden/>
    <w:rsid w:val="00E92373"/>
    <w:pPr>
      <w:widowControl/>
      <w:autoSpaceDE/>
      <w:autoSpaceDN/>
    </w:pPr>
    <w:rPr>
      <w:rFonts w:ascii="Times New Roman" w:eastAsia="Times New Roman" w:hAnsi="Times New Roman" w:cs="Times New Roman"/>
      <w:sz w:val="24"/>
      <w:szCs w:val="24"/>
    </w:rPr>
  </w:style>
  <w:style w:type="character" w:customStyle="1" w:styleId="Heading1Char">
    <w:name w:val="Heading 1 Char"/>
    <w:link w:val="Heading1"/>
    <w:rsid w:val="00E92373"/>
    <w:rPr>
      <w:rFonts w:ascii="Arial" w:eastAsia="Arial" w:hAnsi="Arial" w:cs="Arial"/>
      <w:sz w:val="24"/>
      <w:szCs w:val="24"/>
      <w:lang w:bidi="en-US"/>
    </w:rPr>
  </w:style>
  <w:style w:type="character" w:customStyle="1" w:styleId="Heading3Char">
    <w:name w:val="Heading 3 Char"/>
    <w:link w:val="Heading3"/>
    <w:rsid w:val="00E92373"/>
    <w:rPr>
      <w:rFonts w:ascii="Arial" w:eastAsia="Arial" w:hAnsi="Arial" w:cs="Arial"/>
      <w:b/>
      <w:bCs/>
      <w:i/>
      <w:lang w:bidi="en-US"/>
    </w:rPr>
  </w:style>
  <w:style w:type="character" w:customStyle="1" w:styleId="Heading4Char">
    <w:name w:val="Heading 4 Char"/>
    <w:link w:val="Heading4"/>
    <w:rsid w:val="00E92373"/>
    <w:rPr>
      <w:rFonts w:ascii="Arial" w:eastAsia="Arial" w:hAnsi="Arial" w:cs="Arial"/>
      <w:lang w:bidi="en-US"/>
    </w:rPr>
  </w:style>
  <w:style w:type="character" w:customStyle="1" w:styleId="BodyTextChar">
    <w:name w:val="Body Text Char"/>
    <w:link w:val="BodyText"/>
    <w:rsid w:val="00E92373"/>
    <w:rPr>
      <w:rFonts w:ascii="Arial" w:eastAsia="Arial" w:hAnsi="Arial" w:cs="Arial"/>
      <w:sz w:val="20"/>
      <w:szCs w:val="20"/>
      <w:lang w:bidi="en-US"/>
    </w:rPr>
  </w:style>
  <w:style w:type="character" w:customStyle="1" w:styleId="dibtext-21">
    <w:name w:val="dib_text-21"/>
    <w:rsid w:val="00E92373"/>
    <w:rPr>
      <w:rFonts w:ascii="Arial" w:hAnsi="Arial" w:cs="Arial" w:hint="default"/>
      <w:b w:val="0"/>
      <w:bCs w:val="0"/>
      <w:strike w:val="0"/>
      <w:dstrike w:val="0"/>
      <w:color w:val="595959"/>
      <w:sz w:val="20"/>
      <w:szCs w:val="20"/>
      <w:u w:val="none"/>
      <w:effect w:val="none"/>
    </w:rPr>
  </w:style>
  <w:style w:type="character" w:customStyle="1" w:styleId="ListParagraphChar">
    <w:name w:val="List Paragraph Char"/>
    <w:basedOn w:val="DefaultParagraphFont"/>
    <w:link w:val="ListParagraph"/>
    <w:uiPriority w:val="34"/>
    <w:rsid w:val="0070181A"/>
    <w:rPr>
      <w:rFonts w:ascii="Arial" w:eastAsia="Arial" w:hAnsi="Arial" w:cs="Arial"/>
      <w:lang w:bidi="en-US"/>
    </w:rPr>
  </w:style>
  <w:style w:type="paragraph" w:styleId="FootnoteText">
    <w:name w:val="footnote text"/>
    <w:basedOn w:val="Normal"/>
    <w:link w:val="FootnoteTextChar"/>
    <w:uiPriority w:val="99"/>
    <w:semiHidden/>
    <w:unhideWhenUsed/>
    <w:rsid w:val="0048563C"/>
    <w:rPr>
      <w:sz w:val="20"/>
      <w:szCs w:val="20"/>
    </w:rPr>
  </w:style>
  <w:style w:type="character" w:customStyle="1" w:styleId="FootnoteTextChar">
    <w:name w:val="Footnote Text Char"/>
    <w:basedOn w:val="DefaultParagraphFont"/>
    <w:link w:val="FootnoteText"/>
    <w:uiPriority w:val="99"/>
    <w:semiHidden/>
    <w:rsid w:val="0048563C"/>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48563C"/>
    <w:rPr>
      <w:vertAlign w:val="superscript"/>
    </w:rPr>
  </w:style>
  <w:style w:type="paragraph" w:customStyle="1" w:styleId="gmail-msobodytext">
    <w:name w:val="gmail-msobodytext"/>
    <w:basedOn w:val="Normal"/>
    <w:rsid w:val="00030318"/>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7110">
      <w:bodyDiv w:val="1"/>
      <w:marLeft w:val="0"/>
      <w:marRight w:val="0"/>
      <w:marTop w:val="0"/>
      <w:marBottom w:val="0"/>
      <w:divBdr>
        <w:top w:val="none" w:sz="0" w:space="0" w:color="auto"/>
        <w:left w:val="none" w:sz="0" w:space="0" w:color="auto"/>
        <w:bottom w:val="none" w:sz="0" w:space="0" w:color="auto"/>
        <w:right w:val="none" w:sz="0" w:space="0" w:color="auto"/>
      </w:divBdr>
    </w:div>
    <w:div w:id="419646647">
      <w:bodyDiv w:val="1"/>
      <w:marLeft w:val="0"/>
      <w:marRight w:val="0"/>
      <w:marTop w:val="0"/>
      <w:marBottom w:val="0"/>
      <w:divBdr>
        <w:top w:val="none" w:sz="0" w:space="0" w:color="auto"/>
        <w:left w:val="none" w:sz="0" w:space="0" w:color="auto"/>
        <w:bottom w:val="none" w:sz="0" w:space="0" w:color="auto"/>
        <w:right w:val="none" w:sz="0" w:space="0" w:color="auto"/>
      </w:divBdr>
    </w:div>
    <w:div w:id="447433195">
      <w:bodyDiv w:val="1"/>
      <w:marLeft w:val="0"/>
      <w:marRight w:val="0"/>
      <w:marTop w:val="0"/>
      <w:marBottom w:val="0"/>
      <w:divBdr>
        <w:top w:val="none" w:sz="0" w:space="0" w:color="auto"/>
        <w:left w:val="none" w:sz="0" w:space="0" w:color="auto"/>
        <w:bottom w:val="none" w:sz="0" w:space="0" w:color="auto"/>
        <w:right w:val="none" w:sz="0" w:space="0" w:color="auto"/>
      </w:divBdr>
    </w:div>
    <w:div w:id="954482554">
      <w:bodyDiv w:val="1"/>
      <w:marLeft w:val="0"/>
      <w:marRight w:val="0"/>
      <w:marTop w:val="0"/>
      <w:marBottom w:val="0"/>
      <w:divBdr>
        <w:top w:val="none" w:sz="0" w:space="0" w:color="auto"/>
        <w:left w:val="none" w:sz="0" w:space="0" w:color="auto"/>
        <w:bottom w:val="none" w:sz="0" w:space="0" w:color="auto"/>
        <w:right w:val="none" w:sz="0" w:space="0" w:color="auto"/>
      </w:divBdr>
    </w:div>
    <w:div w:id="1421637278">
      <w:bodyDiv w:val="1"/>
      <w:marLeft w:val="0"/>
      <w:marRight w:val="0"/>
      <w:marTop w:val="0"/>
      <w:marBottom w:val="0"/>
      <w:divBdr>
        <w:top w:val="none" w:sz="0" w:space="0" w:color="auto"/>
        <w:left w:val="none" w:sz="0" w:space="0" w:color="auto"/>
        <w:bottom w:val="none" w:sz="0" w:space="0" w:color="auto"/>
        <w:right w:val="none" w:sz="0" w:space="0" w:color="auto"/>
      </w:divBdr>
    </w:div>
    <w:div w:id="1679194635">
      <w:bodyDiv w:val="1"/>
      <w:marLeft w:val="0"/>
      <w:marRight w:val="0"/>
      <w:marTop w:val="0"/>
      <w:marBottom w:val="0"/>
      <w:divBdr>
        <w:top w:val="none" w:sz="0" w:space="0" w:color="auto"/>
        <w:left w:val="none" w:sz="0" w:space="0" w:color="auto"/>
        <w:bottom w:val="none" w:sz="0" w:space="0" w:color="auto"/>
        <w:right w:val="none" w:sz="0" w:space="0" w:color="auto"/>
      </w:divBdr>
    </w:div>
    <w:div w:id="1682006202">
      <w:bodyDiv w:val="1"/>
      <w:marLeft w:val="0"/>
      <w:marRight w:val="0"/>
      <w:marTop w:val="0"/>
      <w:marBottom w:val="0"/>
      <w:divBdr>
        <w:top w:val="none" w:sz="0" w:space="0" w:color="auto"/>
        <w:left w:val="none" w:sz="0" w:space="0" w:color="auto"/>
        <w:bottom w:val="none" w:sz="0" w:space="0" w:color="auto"/>
        <w:right w:val="none" w:sz="0" w:space="0" w:color="auto"/>
      </w:divBdr>
    </w:div>
    <w:div w:id="1719433635">
      <w:bodyDiv w:val="1"/>
      <w:marLeft w:val="0"/>
      <w:marRight w:val="0"/>
      <w:marTop w:val="0"/>
      <w:marBottom w:val="0"/>
      <w:divBdr>
        <w:top w:val="none" w:sz="0" w:space="0" w:color="auto"/>
        <w:left w:val="none" w:sz="0" w:space="0" w:color="auto"/>
        <w:bottom w:val="none" w:sz="0" w:space="0" w:color="auto"/>
        <w:right w:val="none" w:sz="0" w:space="0" w:color="auto"/>
      </w:divBdr>
    </w:div>
    <w:div w:id="198319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s.google.com/?q=No,+44,%0D%0A++Khayaban-e-Ghazi,+Phase+V,+DHA,+Karachi&amp;entry=gmail&amp;source=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aps.google.com/?q=2,+22nd+Street&amp;entry=gmail&amp;source=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ps.google.com/?q=11%0D%0A++Khayaban-e-Hilal,+Phase+6,+D.H.A.,+Karachi&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9240-38F1-4998-88C8-4E4D2640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33982</Words>
  <Characters>193700</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The investors are advised in their own interest to carefully read the contents of the Offering Document, in particular the Risk Disclosure in Clause 2</vt:lpstr>
    </vt:vector>
  </TitlesOfParts>
  <Company>UBL Fund Managers</Company>
  <LinksUpToDate>false</LinksUpToDate>
  <CharactersWithSpaces>227228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investors are advised in their own interest to carefully read the contents of the Offering Document, in particular the Risk Disclosure in Clause 2</dc:title>
  <dc:creator>Zoya Yousuf;Farhan Ali Mir</dc:creator>
  <cp:lastModifiedBy>Ali Abbas Raza</cp:lastModifiedBy>
  <cp:revision>41</cp:revision>
  <cp:lastPrinted>2018-05-14T08:00:00Z</cp:lastPrinted>
  <dcterms:created xsi:type="dcterms:W3CDTF">2019-09-12T06:14:00Z</dcterms:created>
  <dcterms:modified xsi:type="dcterms:W3CDTF">2019-09-26T12:30:00Z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2010</vt:lpwstr>
  </property>
  <property fmtid="{D5CDD505-2E9C-101B-9397-08002B2CF9AE}" pid="4" name="LastSaved">
    <vt:filetime>2017-10-09T00:00:00Z</vt:filetime>
  </property>
</Properties>
</file>